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jc w:val="center"/>
        <w:outlineLvl w:val="0"/>
        <w:rPr>
          <w:rFonts w:ascii="宋体" w:hAnsi="宋体" w:eastAsia="宋体" w:cs="宋体"/>
          <w:b/>
          <w:bCs/>
          <w:kern w:val="36"/>
          <w:sz w:val="48"/>
          <w:szCs w:val="48"/>
          <w:highlight w:val="none"/>
        </w:rPr>
      </w:pPr>
      <w:bookmarkStart w:id="0" w:name="_GoBack"/>
      <w:r>
        <w:rPr>
          <w:rFonts w:hint="eastAsia" w:ascii="宋体" w:hAnsi="宋体" w:eastAsia="宋体" w:cs="宋体"/>
          <w:b/>
          <w:bCs/>
          <w:kern w:val="36"/>
          <w:sz w:val="48"/>
          <w:szCs w:val="48"/>
          <w:highlight w:val="none"/>
        </w:rPr>
        <w:t>政府采购项目采购需求（服务</w:t>
      </w:r>
      <w:r>
        <w:rPr>
          <w:rFonts w:ascii="宋体" w:hAnsi="宋体" w:eastAsia="宋体" w:cs="宋体"/>
          <w:b/>
          <w:bCs/>
          <w:kern w:val="36"/>
          <w:sz w:val="48"/>
          <w:szCs w:val="48"/>
          <w:highlight w:val="none"/>
        </w:rPr>
        <w:t>类</w:t>
      </w:r>
      <w:r>
        <w:rPr>
          <w:rFonts w:hint="eastAsia" w:ascii="宋体" w:hAnsi="宋体" w:eastAsia="宋体" w:cs="宋体"/>
          <w:b/>
          <w:bCs/>
          <w:kern w:val="36"/>
          <w:sz w:val="48"/>
          <w:szCs w:val="48"/>
          <w:highlight w:val="none"/>
        </w:rPr>
        <w:t>）</w:t>
      </w:r>
    </w:p>
    <w:p>
      <w:pPr>
        <w:widowControl/>
        <w:shd w:val="clear" w:color="auto" w:fill="FFFFFF"/>
        <w:spacing w:line="480" w:lineRule="auto"/>
        <w:jc w:val="right"/>
        <w:outlineLvl w:val="2"/>
        <w:rPr>
          <w:rFonts w:ascii="宋体" w:hAnsi="宋体" w:eastAsia="宋体" w:cs="宋体"/>
          <w:kern w:val="0"/>
          <w:sz w:val="27"/>
          <w:szCs w:val="27"/>
          <w:highlight w:val="none"/>
        </w:rPr>
      </w:pPr>
    </w:p>
    <w:p>
      <w:pPr>
        <w:widowControl/>
        <w:shd w:val="clear" w:color="auto" w:fill="FFFFFF"/>
        <w:spacing w:line="480" w:lineRule="auto"/>
        <w:ind w:right="1080"/>
        <w:outlineLvl w:val="2"/>
        <w:rPr>
          <w:rFonts w:ascii="宋体" w:hAnsi="宋体" w:eastAsia="宋体" w:cs="宋体"/>
          <w:kern w:val="0"/>
          <w:sz w:val="27"/>
          <w:szCs w:val="27"/>
          <w:highlight w:val="none"/>
        </w:rPr>
      </w:pPr>
      <w:r>
        <w:rPr>
          <w:rFonts w:hint="eastAsia" w:ascii="宋体" w:hAnsi="宋体" w:eastAsia="宋体" w:cs="宋体"/>
          <w:kern w:val="0"/>
          <w:sz w:val="27"/>
          <w:szCs w:val="27"/>
          <w:highlight w:val="none"/>
        </w:rPr>
        <w:t>采购单位（盖章）：</w:t>
      </w:r>
      <w:r>
        <w:rPr>
          <w:rFonts w:hint="eastAsia" w:asciiTheme="minorEastAsia" w:hAnsiTheme="minorEastAsia" w:cstheme="minorEastAsia"/>
          <w:kern w:val="0"/>
          <w:sz w:val="24"/>
          <w:szCs w:val="24"/>
          <w:highlight w:val="none"/>
        </w:rPr>
        <w:t>文学与新闻传播学院</w:t>
      </w:r>
    </w:p>
    <w:p>
      <w:pPr>
        <w:widowControl/>
        <w:shd w:val="clear" w:color="auto" w:fill="FFFFFF"/>
        <w:spacing w:line="480" w:lineRule="auto"/>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一、项目总体情况</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（一）项目名称：</w:t>
      </w:r>
      <w:r>
        <w:rPr>
          <w:rFonts w:hint="eastAsia" w:asciiTheme="minorEastAsia" w:hAnsiTheme="minorEastAsia" w:cstheme="minorEastAsia"/>
          <w:kern w:val="0"/>
          <w:sz w:val="24"/>
          <w:szCs w:val="24"/>
          <w:highlight w:val="none"/>
        </w:rPr>
        <w:t>四川藏区非物质文化遗产酥油花创意与制作技艺虚拟仿真项目</w:t>
      </w:r>
      <w:r>
        <w:rPr>
          <w:rFonts w:hint="eastAsia" w:ascii="宋体" w:hAnsi="宋体" w:eastAsia="宋体" w:cs="宋体"/>
          <w:kern w:val="0"/>
          <w:sz w:val="24"/>
          <w:szCs w:val="24"/>
          <w:highlight w:val="none"/>
        </w:rPr>
        <w:t xml:space="preserve"> </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（二）项目所属年度： </w:t>
      </w:r>
      <w:r>
        <w:rPr>
          <w:rFonts w:hint="eastAsia" w:asciiTheme="minorEastAsia" w:hAnsiTheme="minorEastAsia" w:cstheme="minorEastAsia"/>
          <w:bCs/>
          <w:kern w:val="0"/>
          <w:sz w:val="24"/>
          <w:szCs w:val="24"/>
          <w:highlight w:val="none"/>
        </w:rPr>
        <w:t>2022年</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（三）项目所属分类：</w:t>
      </w:r>
      <w:r>
        <w:rPr>
          <w:rFonts w:hint="eastAsia" w:ascii="宋体" w:hAnsi="宋体" w:eastAsia="宋体" w:cs="宋体"/>
          <w:b/>
          <w:kern w:val="0"/>
          <w:sz w:val="24"/>
          <w:szCs w:val="24"/>
          <w:highlight w:val="none"/>
        </w:rPr>
        <w:t>服务</w:t>
      </w:r>
    </w:p>
    <w:p>
      <w:pPr>
        <w:widowControl/>
        <w:shd w:val="clear" w:color="auto" w:fill="FFFFFF"/>
        <w:spacing w:line="360" w:lineRule="auto"/>
        <w:ind w:firstLine="420"/>
        <w:rPr>
          <w:rFonts w:asciiTheme="minorEastAsia" w:hAnsiTheme="minorEastAsia" w:cstheme="minorEastAsia"/>
          <w:kern w:val="0"/>
          <w:sz w:val="24"/>
          <w:szCs w:val="24"/>
          <w:highlight w:val="none"/>
        </w:rPr>
      </w:pPr>
      <w:r>
        <w:rPr>
          <w:rFonts w:hint="eastAsia" w:ascii="宋体" w:hAnsi="宋体" w:eastAsia="宋体" w:cs="宋体"/>
          <w:kern w:val="0"/>
          <w:sz w:val="24"/>
          <w:szCs w:val="24"/>
          <w:highlight w:val="none"/>
        </w:rPr>
        <w:t>（四）预算金额（元）：</w:t>
      </w:r>
      <w:r>
        <w:rPr>
          <w:rFonts w:hint="eastAsia" w:asciiTheme="minorEastAsia" w:hAnsiTheme="minorEastAsia" w:cstheme="minorEastAsia"/>
          <w:kern w:val="0"/>
          <w:sz w:val="24"/>
          <w:szCs w:val="24"/>
          <w:highlight w:val="none"/>
        </w:rPr>
        <w:t>180000.00元 ，大写（人民币）： 壹拾捌万圆整</w:t>
      </w:r>
    </w:p>
    <w:p>
      <w:pPr>
        <w:widowControl/>
        <w:shd w:val="clear" w:color="auto" w:fill="FFFFFF"/>
        <w:spacing w:line="360" w:lineRule="auto"/>
        <w:ind w:firstLine="1200"/>
        <w:rPr>
          <w:rFonts w:ascii="宋体" w:hAnsi="宋体" w:eastAsia="宋体" w:cs="宋体"/>
          <w:kern w:val="0"/>
          <w:sz w:val="24"/>
          <w:szCs w:val="24"/>
          <w:highlight w:val="none"/>
        </w:rPr>
      </w:pPr>
      <w:r>
        <w:rPr>
          <w:rFonts w:hint="eastAsia" w:asciiTheme="minorEastAsia" w:hAnsiTheme="minorEastAsia" w:cstheme="minorEastAsia"/>
          <w:kern w:val="0"/>
          <w:sz w:val="24"/>
          <w:szCs w:val="24"/>
          <w:highlight w:val="none"/>
        </w:rPr>
        <w:t>最高限价（元）：180000.00元， 大写（人民币）： 壹拾捌万圆整</w:t>
      </w:r>
    </w:p>
    <w:p>
      <w:pPr>
        <w:widowControl/>
        <w:shd w:val="clear" w:color="auto" w:fill="FFFFFF"/>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（五）项目概况：</w:t>
      </w:r>
      <w:r>
        <w:rPr>
          <w:rFonts w:hint="eastAsia" w:asciiTheme="minorEastAsia" w:hAnsiTheme="minorEastAsia" w:cstheme="minorEastAsia"/>
          <w:kern w:val="0"/>
          <w:sz w:val="24"/>
          <w:szCs w:val="24"/>
          <w:highlight w:val="none"/>
        </w:rPr>
        <w:t>建设高质量的虚拟仿真实验项目，着力提高实验教学质量和实践育人水平，充分考虑了项目的叉要性、可行性、科学性、创新性和建设内容的独特性的基础上，结合国家、省级虚拟仿真实验教学项目申报要求和学校虚拟仿真实验项目总体建设要求。</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（六）本项目是否有为采购项目提供整体设计、规范编制或者项目管理、监理、检测等服务的供应商：□是（填以下信息）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否</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供应商名称：</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供应商统一社会信用代码：</w:t>
      </w:r>
    </w:p>
    <w:p>
      <w:pPr>
        <w:widowControl/>
        <w:shd w:val="clear" w:color="auto" w:fill="FFFFFF"/>
        <w:spacing w:line="480" w:lineRule="auto"/>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二、项目需求调查情况</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依据《政府采购需求管理办法》的规定，□本项目需要（填以下信息）       □不需要  需求调查，具体情况如下：</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·本项目属于以下应当展开需求的情形</w:t>
      </w:r>
    </w:p>
    <w:p>
      <w:pPr>
        <w:widowControl/>
        <w:shd w:val="clear" w:color="auto" w:fill="FFFFFF"/>
        <w:spacing w:line="480" w:lineRule="auto"/>
        <w:ind w:left="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 1000万元以上的货物、服务采购项目，3000万元以上的工程采购项目；</w:t>
      </w:r>
    </w:p>
    <w:p>
      <w:pPr>
        <w:widowControl/>
        <w:shd w:val="clear" w:color="auto" w:fill="FFFFFF"/>
        <w:spacing w:line="480" w:lineRule="auto"/>
        <w:ind w:left="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 涉及公共利益、社会关注度较高的采购项目，包括政府向社会公众提供的公共服务项目等；</w:t>
      </w:r>
    </w:p>
    <w:p>
      <w:pPr>
        <w:widowControl/>
        <w:shd w:val="clear" w:color="auto" w:fill="FFFFFF"/>
        <w:spacing w:line="480" w:lineRule="auto"/>
        <w:ind w:left="420"/>
        <w:rPr>
          <w:rFonts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 xml:space="preserve"> 技术复杂、专业性较强的项目，包括需定制开发的信息化建设项目、采购进口产品的项目等；</w:t>
      </w:r>
    </w:p>
    <w:p>
      <w:pPr>
        <w:widowControl/>
        <w:shd w:val="clear" w:color="auto" w:fill="FFFFFF"/>
        <w:spacing w:line="480" w:lineRule="auto"/>
        <w:ind w:left="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 主管预算单位或者采购人认为需要开展需求调查的其他采购项目。</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·本项目属于以下可以不再重复开展需求调查的情形</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 xml:space="preserve"> 编制采购需求前一年内，采购人已就相关采购标的开展过需求调查的可以不再重复开展。</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 按照法律法规的规定，对采购项目开展可行性研究等前期工作，已包含需求调查内容的，可以不再重复调查</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（一）需求调查方式:</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□咨询  </w:t>
      </w: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论证  □调查问卷</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（二）需求调查对象:</w:t>
      </w:r>
    </w:p>
    <w:p>
      <w:pPr>
        <w:widowControl/>
        <w:shd w:val="clear" w:color="auto" w:fill="FFFFFF"/>
        <w:spacing w:line="360" w:lineRule="auto"/>
        <w:ind w:firstLine="960" w:firstLineChars="400"/>
        <w:rPr>
          <w:rFonts w:ascii="宋体" w:hAnsi="宋体" w:eastAsia="宋体" w:cs="宋体"/>
          <w:kern w:val="0"/>
          <w:sz w:val="24"/>
          <w:szCs w:val="24"/>
          <w:highlight w:val="none"/>
        </w:rPr>
      </w:pPr>
      <w:r>
        <w:rPr>
          <w:rFonts w:hint="eastAsia" w:asciiTheme="minorEastAsia" w:hAnsiTheme="minorEastAsia" w:cstheme="minorEastAsia"/>
          <w:kern w:val="0"/>
          <w:sz w:val="24"/>
          <w:szCs w:val="24"/>
          <w:highlight w:val="none"/>
        </w:rPr>
        <w:t>相关制造厂家。</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（三）需求调查结果</w:t>
      </w:r>
    </w:p>
    <w:p>
      <w:pPr>
        <w:widowControl/>
        <w:shd w:val="clear" w:color="auto" w:fill="FFFFFF"/>
        <w:spacing w:line="360" w:lineRule="auto"/>
        <w:ind w:firstLine="480" w:firstLineChars="20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1.相关产业发展情况:</w:t>
      </w:r>
    </w:p>
    <w:p>
      <w:pPr>
        <w:widowControl/>
        <w:shd w:val="clear" w:color="auto" w:fill="FFFFFF"/>
        <w:spacing w:line="360" w:lineRule="auto"/>
        <w:ind w:firstLine="480" w:firstLineChars="20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从教育部的整体战略分析，虚拟仿真资源建设将是各高校的重中之重，平台仅能提供载体功能，真正的核心是资源建设，所以学校应当结合自身院校情况，开发一系列真正能够供教学使用的优质实验资源，才能够在今后的教学竞争中脱颖而出，为教学工作提供更加坚实的基础，让学生收益，学校收益。</w:t>
      </w:r>
    </w:p>
    <w:p>
      <w:pPr>
        <w:widowControl/>
        <w:shd w:val="clear" w:color="auto" w:fill="FFFFFF"/>
        <w:spacing w:line="360" w:lineRule="auto"/>
        <w:ind w:firstLine="480" w:firstLineChars="20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2.市场供给情况:</w:t>
      </w:r>
    </w:p>
    <w:p>
      <w:pPr>
        <w:widowControl/>
        <w:shd w:val="clear" w:color="auto" w:fill="FFFFFF"/>
        <w:spacing w:line="360" w:lineRule="auto"/>
        <w:ind w:firstLine="480" w:firstLineChars="20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本项目主要为软件定制开发项目，且需要对接国家级平台需求，目前对这块业务熟悉的公司很多。</w:t>
      </w:r>
    </w:p>
    <w:p>
      <w:pPr>
        <w:widowControl/>
        <w:shd w:val="clear" w:color="auto" w:fill="FFFFFF"/>
        <w:spacing w:line="360" w:lineRule="auto"/>
        <w:ind w:firstLine="480" w:firstLineChars="20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3.同类采购项目历史成交信息情况:</w:t>
      </w:r>
    </w:p>
    <w:p>
      <w:pPr>
        <w:widowControl/>
        <w:shd w:val="clear" w:color="auto" w:fill="FFFFFF"/>
        <w:spacing w:line="360" w:lineRule="auto"/>
        <w:ind w:firstLine="480" w:firstLineChars="20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软件类产品我校目前尚无同类采购项目的成交信息。</w:t>
      </w:r>
    </w:p>
    <w:p>
      <w:pPr>
        <w:widowControl/>
        <w:shd w:val="clear" w:color="auto" w:fill="FFFFFF"/>
        <w:spacing w:line="360" w:lineRule="auto"/>
        <w:ind w:firstLine="480" w:firstLineChars="20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4.可能涉及的运行维护、升级更新、备品备件、耗材等后续采购情况:</w:t>
      </w:r>
    </w:p>
    <w:p>
      <w:pPr>
        <w:widowControl/>
        <w:shd w:val="clear" w:color="auto" w:fill="FFFFFF"/>
        <w:spacing w:line="360" w:lineRule="auto"/>
        <w:ind w:firstLine="480" w:firstLineChars="20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教学过程中，只需要正常的运行维护。一般硬件厂家均提供一年的售后质保。</w:t>
      </w:r>
    </w:p>
    <w:p>
      <w:pPr>
        <w:widowControl/>
        <w:shd w:val="clear" w:color="auto" w:fill="FFFFFF"/>
        <w:spacing w:line="360" w:lineRule="auto"/>
        <w:ind w:firstLine="480" w:firstLineChars="20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5.其他相关情况:</w:t>
      </w:r>
    </w:p>
    <w:p>
      <w:pPr>
        <w:widowControl/>
        <w:shd w:val="clear" w:color="auto" w:fill="FFFFFF"/>
        <w:spacing w:line="360" w:lineRule="auto"/>
        <w:ind w:firstLine="480" w:firstLineChars="200"/>
        <w:rPr>
          <w:rFonts w:ascii="宋体" w:hAnsi="宋体" w:eastAsia="宋体" w:cs="宋体"/>
          <w:kern w:val="0"/>
          <w:sz w:val="24"/>
          <w:szCs w:val="24"/>
          <w:highlight w:val="none"/>
        </w:rPr>
      </w:pPr>
      <w:r>
        <w:rPr>
          <w:rFonts w:hint="eastAsia" w:asciiTheme="minorEastAsia" w:hAnsiTheme="minorEastAsia" w:cstheme="minorEastAsia"/>
          <w:kern w:val="0"/>
          <w:sz w:val="24"/>
          <w:szCs w:val="24"/>
          <w:highlight w:val="none"/>
        </w:rPr>
        <w:t>无</w:t>
      </w:r>
    </w:p>
    <w:p>
      <w:pPr>
        <w:widowControl/>
        <w:shd w:val="clear" w:color="auto" w:fill="FFFFFF"/>
        <w:spacing w:line="480" w:lineRule="auto"/>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三、项目采购实施计划</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（一）采购组织形式：□政府集中采购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 xml:space="preserve">□部门集中采购  </w:t>
      </w: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分散采购</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（二）采购方式</w:t>
      </w:r>
      <w:r>
        <w:rPr>
          <w:rFonts w:ascii="宋体" w:hAnsi="宋体" w:eastAsia="宋体" w:cs="宋体"/>
          <w:kern w:val="0"/>
          <w:sz w:val="24"/>
          <w:szCs w:val="24"/>
          <w:highlight w:val="none"/>
        </w:rPr>
        <w:t>：</w:t>
      </w: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公开招标  □邀请</w:t>
      </w:r>
      <w:r>
        <w:rPr>
          <w:rFonts w:ascii="宋体" w:hAnsi="宋体" w:eastAsia="宋体" w:cs="宋体"/>
          <w:kern w:val="0"/>
          <w:sz w:val="24"/>
          <w:szCs w:val="24"/>
          <w:highlight w:val="none"/>
        </w:rPr>
        <w:t>招标</w:t>
      </w:r>
      <w:r>
        <w:rPr>
          <w:rFonts w:hint="eastAsia" w:ascii="宋体" w:hAnsi="宋体" w:eastAsia="宋体" w:cs="宋体"/>
          <w:kern w:val="0"/>
          <w:sz w:val="24"/>
          <w:szCs w:val="24"/>
          <w:highlight w:val="none"/>
        </w:rPr>
        <w:t xml:space="preserve">  □竞争性谈判  □询价     □单一来源  □竞争性</w:t>
      </w:r>
      <w:r>
        <w:rPr>
          <w:rFonts w:ascii="宋体" w:hAnsi="宋体" w:eastAsia="宋体" w:cs="宋体"/>
          <w:kern w:val="0"/>
          <w:sz w:val="24"/>
          <w:szCs w:val="24"/>
          <w:highlight w:val="none"/>
        </w:rPr>
        <w:t>磋商</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（三）本项目是否单位自行组织采购：否</w:t>
      </w:r>
    </w:p>
    <w:p>
      <w:pPr>
        <w:widowControl/>
        <w:shd w:val="clear" w:color="auto" w:fill="FFFFFF"/>
        <w:spacing w:line="480" w:lineRule="auto"/>
        <w:ind w:firstLine="420"/>
        <w:rPr>
          <w:sz w:val="24"/>
          <w:highlight w:val="none"/>
        </w:rPr>
      </w:pPr>
      <w:r>
        <w:rPr>
          <w:rFonts w:hint="eastAsia" w:ascii="宋体" w:hAnsi="宋体" w:eastAsia="宋体" w:cs="宋体"/>
          <w:kern w:val="0"/>
          <w:sz w:val="24"/>
          <w:szCs w:val="24"/>
          <w:highlight w:val="none"/>
        </w:rPr>
        <w:t>（四）采购包划分</w:t>
      </w:r>
      <w:r>
        <w:rPr>
          <w:rFonts w:hint="eastAsia"/>
          <w:highlight w:val="none"/>
        </w:rPr>
        <w:t>：</w:t>
      </w:r>
      <w:r>
        <w:rPr>
          <w:rFonts w:hint="eastAsia"/>
          <w:sz w:val="24"/>
          <w:highlight w:val="none"/>
        </w:rPr>
        <w:t>不分包采购</w:t>
      </w:r>
    </w:p>
    <w:p>
      <w:pPr>
        <w:widowControl/>
        <w:shd w:val="clear" w:color="auto" w:fill="FFFFFF"/>
        <w:spacing w:line="360" w:lineRule="auto"/>
        <w:ind w:firstLine="420"/>
        <w:rPr>
          <w:rFonts w:asciiTheme="minorEastAsia" w:hAnsiTheme="minorEastAsia" w:cstheme="minorEastAsia"/>
          <w:kern w:val="0"/>
          <w:sz w:val="24"/>
          <w:szCs w:val="24"/>
          <w:highlight w:val="none"/>
        </w:rPr>
      </w:pPr>
      <w:r>
        <w:rPr>
          <w:rFonts w:hint="eastAsia" w:asciiTheme="minorEastAsia" w:hAnsiTheme="minorEastAsia" w:cstheme="minorEastAsia"/>
          <w:sz w:val="24"/>
          <w:szCs w:val="24"/>
          <w:highlight w:val="none"/>
        </w:rPr>
        <w:t>包名称：</w:t>
      </w:r>
      <w:r>
        <w:rPr>
          <w:rFonts w:hint="eastAsia" w:asciiTheme="minorEastAsia" w:hAnsiTheme="minorEastAsia" w:cstheme="minorEastAsia"/>
          <w:kern w:val="0"/>
          <w:sz w:val="24"/>
          <w:szCs w:val="24"/>
          <w:highlight w:val="none"/>
        </w:rPr>
        <w:t>四川藏区非物质文化遗产酥油花创意与制作技艺虚拟仿真项目</w:t>
      </w:r>
    </w:p>
    <w:p>
      <w:pPr>
        <w:widowControl/>
        <w:shd w:val="clear" w:color="auto" w:fill="FFFFFF"/>
        <w:spacing w:line="360" w:lineRule="auto"/>
        <w:ind w:firstLine="420"/>
        <w:rPr>
          <w:sz w:val="24"/>
          <w:highlight w:val="none"/>
        </w:rPr>
      </w:pPr>
      <w:r>
        <w:rPr>
          <w:rFonts w:hint="eastAsia" w:asciiTheme="minorEastAsia" w:hAnsiTheme="minorEastAsia" w:cstheme="minorEastAsia"/>
          <w:sz w:val="24"/>
          <w:szCs w:val="24"/>
          <w:highlight w:val="none"/>
        </w:rPr>
        <w:t xml:space="preserve">最高限价（元）：180000.00元     </w:t>
      </w:r>
      <w:r>
        <w:rPr>
          <w:rFonts w:hint="eastAsia"/>
          <w:sz w:val="24"/>
          <w:highlight w:val="none"/>
        </w:rPr>
        <w:t xml:space="preserve">    </w:t>
      </w:r>
    </w:p>
    <w:p>
      <w:pPr>
        <w:widowControl/>
        <w:shd w:val="clear" w:color="auto" w:fill="FFFFFF"/>
        <w:spacing w:line="480" w:lineRule="auto"/>
        <w:ind w:firstLine="420"/>
        <w:rPr>
          <w:sz w:val="24"/>
          <w:highlight w:val="none"/>
        </w:rPr>
      </w:pPr>
      <w:r>
        <w:rPr>
          <w:rFonts w:hint="eastAsia"/>
          <w:sz w:val="24"/>
          <w:highlight w:val="none"/>
        </w:rPr>
        <w:t>定价方式：</w:t>
      </w:r>
      <w:r>
        <w:rPr>
          <w:rFonts w:hint="eastAsia" w:ascii="宋体" w:hAnsi="宋体" w:eastAsia="宋体" w:cs="宋体"/>
          <w:kern w:val="0"/>
          <w:sz w:val="24"/>
          <w:szCs w:val="24"/>
          <w:highlight w:val="none"/>
        </w:rPr>
        <w:sym w:font="Wingdings 2" w:char="0052"/>
      </w:r>
      <w:r>
        <w:rPr>
          <w:rFonts w:hint="eastAsia"/>
          <w:sz w:val="24"/>
          <w:highlight w:val="none"/>
        </w:rPr>
        <w:t xml:space="preserve">固定总价 </w:t>
      </w:r>
      <w:r>
        <w:rPr>
          <w:sz w:val="24"/>
          <w:highlight w:val="none"/>
        </w:rPr>
        <w:t xml:space="preserve"> </w:t>
      </w:r>
      <w:r>
        <w:rPr>
          <w:rFonts w:hint="eastAsia"/>
          <w:sz w:val="24"/>
          <w:highlight w:val="none"/>
        </w:rPr>
        <w:t xml:space="preserve"> </w:t>
      </w:r>
      <w:r>
        <w:rPr>
          <w:rFonts w:hint="eastAsia" w:ascii="宋体" w:hAnsi="宋体" w:eastAsia="宋体" w:cs="宋体"/>
          <w:kern w:val="0"/>
          <w:sz w:val="24"/>
          <w:szCs w:val="24"/>
          <w:highlight w:val="none"/>
        </w:rPr>
        <w:t>□</w:t>
      </w:r>
      <w:r>
        <w:rPr>
          <w:rFonts w:hint="eastAsia"/>
          <w:sz w:val="24"/>
          <w:highlight w:val="none"/>
        </w:rPr>
        <w:t xml:space="preserve">固定单价 </w:t>
      </w:r>
      <w:r>
        <w:rPr>
          <w:sz w:val="24"/>
          <w:highlight w:val="none"/>
        </w:rPr>
        <w:t xml:space="preserve"> </w:t>
      </w:r>
      <w:r>
        <w:rPr>
          <w:rFonts w:hint="eastAsia"/>
          <w:sz w:val="24"/>
          <w:highlight w:val="none"/>
        </w:rPr>
        <w:t xml:space="preserve"> </w:t>
      </w:r>
      <w:r>
        <w:rPr>
          <w:rFonts w:hint="eastAsia" w:ascii="宋体" w:hAnsi="宋体" w:eastAsia="宋体" w:cs="宋体"/>
          <w:kern w:val="0"/>
          <w:sz w:val="24"/>
          <w:szCs w:val="24"/>
          <w:highlight w:val="none"/>
        </w:rPr>
        <w:t>□</w:t>
      </w:r>
      <w:r>
        <w:rPr>
          <w:rFonts w:hint="eastAsia"/>
          <w:sz w:val="24"/>
          <w:highlight w:val="none"/>
        </w:rPr>
        <w:t>其他（</w:t>
      </w:r>
      <w:r>
        <w:rPr>
          <w:sz w:val="24"/>
          <w:highlight w:val="none"/>
        </w:rPr>
        <w:t>定价方式名称：</w:t>
      </w:r>
      <w:r>
        <w:rPr>
          <w:rFonts w:hint="eastAsia"/>
          <w:sz w:val="24"/>
          <w:highlight w:val="none"/>
        </w:rPr>
        <w:t xml:space="preserve"> </w:t>
      </w:r>
      <w:r>
        <w:rPr>
          <w:sz w:val="24"/>
          <w:highlight w:val="none"/>
        </w:rPr>
        <w:t xml:space="preserve"> </w:t>
      </w:r>
      <w:r>
        <w:rPr>
          <w:rFonts w:hint="eastAsia"/>
          <w:sz w:val="24"/>
          <w:highlight w:val="none"/>
        </w:rPr>
        <w:t xml:space="preserve"> </w:t>
      </w:r>
      <w:r>
        <w:rPr>
          <w:sz w:val="24"/>
          <w:highlight w:val="none"/>
        </w:rPr>
        <w:t xml:space="preserve"> </w:t>
      </w:r>
      <w:r>
        <w:rPr>
          <w:rFonts w:hint="eastAsia"/>
          <w:sz w:val="24"/>
          <w:highlight w:val="none"/>
        </w:rPr>
        <w:t xml:space="preserve"> ）</w:t>
      </w:r>
    </w:p>
    <w:p>
      <w:pPr>
        <w:widowControl/>
        <w:shd w:val="clear" w:color="auto" w:fill="FFFFFF"/>
        <w:spacing w:line="480" w:lineRule="auto"/>
        <w:ind w:firstLine="420"/>
        <w:rPr>
          <w:sz w:val="24"/>
          <w:highlight w:val="none"/>
        </w:rPr>
      </w:pPr>
      <w:r>
        <w:rPr>
          <w:rFonts w:hint="eastAsia"/>
          <w:sz w:val="24"/>
          <w:highlight w:val="none"/>
        </w:rPr>
        <w:t>品目信息一</w:t>
      </w:r>
    </w:p>
    <w:p>
      <w:pPr>
        <w:widowControl/>
        <w:shd w:val="clear" w:color="auto" w:fill="FFFFFF"/>
        <w:spacing w:line="480" w:lineRule="auto"/>
        <w:ind w:firstLine="420"/>
        <w:rPr>
          <w:sz w:val="24"/>
          <w:highlight w:val="none"/>
        </w:rPr>
      </w:pPr>
      <w:r>
        <w:rPr>
          <w:rFonts w:hint="eastAsia"/>
          <w:sz w:val="24"/>
          <w:highlight w:val="none"/>
        </w:rPr>
        <w:t>标的名称：</w:t>
      </w:r>
      <w:r>
        <w:rPr>
          <w:rFonts w:hint="eastAsia" w:asciiTheme="minorEastAsia" w:hAnsiTheme="minorEastAsia" w:cstheme="minorEastAsia"/>
          <w:sz w:val="24"/>
          <w:szCs w:val="24"/>
          <w:highlight w:val="none"/>
        </w:rPr>
        <w:t>四川藏区非物质文化遗产酥油花创意与制作技艺虚拟仿真项目</w:t>
      </w:r>
      <w:r>
        <w:rPr>
          <w:rFonts w:hint="eastAsia"/>
          <w:sz w:val="24"/>
          <w:highlight w:val="none"/>
        </w:rPr>
        <w:t xml:space="preserve">     </w:t>
      </w:r>
      <w:r>
        <w:rPr>
          <w:sz w:val="24"/>
          <w:highlight w:val="none"/>
        </w:rPr>
        <w:t xml:space="preserve">        </w:t>
      </w:r>
      <w:r>
        <w:rPr>
          <w:rFonts w:hint="eastAsia"/>
          <w:sz w:val="24"/>
          <w:highlight w:val="none"/>
        </w:rPr>
        <w:t xml:space="preserve">   计量单位</w:t>
      </w:r>
      <w:r>
        <w:rPr>
          <w:sz w:val="24"/>
          <w:highlight w:val="none"/>
        </w:rPr>
        <w:t>：</w:t>
      </w:r>
      <w:r>
        <w:rPr>
          <w:rFonts w:hint="eastAsia"/>
          <w:sz w:val="24"/>
          <w:highlight w:val="none"/>
        </w:rPr>
        <w:t xml:space="preserve">套 </w:t>
      </w:r>
      <w:r>
        <w:rPr>
          <w:sz w:val="24"/>
          <w:highlight w:val="none"/>
        </w:rPr>
        <w:t xml:space="preserve">     </w:t>
      </w:r>
      <w:r>
        <w:rPr>
          <w:rFonts w:hint="eastAsia"/>
          <w:sz w:val="24"/>
          <w:highlight w:val="none"/>
        </w:rPr>
        <w:t>数量</w:t>
      </w:r>
      <w:r>
        <w:rPr>
          <w:sz w:val="24"/>
          <w:highlight w:val="none"/>
        </w:rPr>
        <w:t>：</w:t>
      </w:r>
      <w:r>
        <w:rPr>
          <w:rFonts w:hint="eastAsia"/>
          <w:sz w:val="24"/>
          <w:highlight w:val="none"/>
        </w:rPr>
        <w:t>1</w:t>
      </w:r>
    </w:p>
    <w:p>
      <w:pPr>
        <w:widowControl/>
        <w:shd w:val="clear" w:color="auto" w:fill="FFFFFF"/>
        <w:spacing w:line="480" w:lineRule="auto"/>
        <w:ind w:firstLine="420"/>
        <w:rPr>
          <w:sz w:val="24"/>
          <w:highlight w:val="none"/>
        </w:rPr>
      </w:pPr>
      <w:r>
        <w:rPr>
          <w:rFonts w:hint="eastAsia"/>
          <w:sz w:val="24"/>
          <w:highlight w:val="none"/>
        </w:rPr>
        <w:t>单价（元）</w:t>
      </w:r>
      <w:r>
        <w:rPr>
          <w:sz w:val="24"/>
          <w:highlight w:val="none"/>
        </w:rPr>
        <w:t>：</w:t>
      </w:r>
      <w:r>
        <w:rPr>
          <w:rFonts w:hint="eastAsia" w:asciiTheme="minorEastAsia" w:hAnsiTheme="minorEastAsia" w:cstheme="minorEastAsia"/>
          <w:sz w:val="24"/>
          <w:szCs w:val="24"/>
          <w:highlight w:val="none"/>
        </w:rPr>
        <w:t xml:space="preserve">180000.00   </w:t>
      </w:r>
      <w:r>
        <w:rPr>
          <w:sz w:val="24"/>
          <w:highlight w:val="none"/>
        </w:rPr>
        <w:t xml:space="preserve">           </w:t>
      </w:r>
      <w:r>
        <w:rPr>
          <w:rFonts w:hint="eastAsia"/>
          <w:sz w:val="24"/>
          <w:highlight w:val="none"/>
        </w:rPr>
        <w:t>该品目预算(元)：</w:t>
      </w:r>
      <w:r>
        <w:rPr>
          <w:rFonts w:hint="eastAsia" w:asciiTheme="minorEastAsia" w:hAnsiTheme="minorEastAsia" w:cstheme="minorEastAsia"/>
          <w:sz w:val="24"/>
          <w:szCs w:val="24"/>
          <w:highlight w:val="none"/>
        </w:rPr>
        <w:t>180000.00</w:t>
      </w:r>
    </w:p>
    <w:p>
      <w:pPr>
        <w:widowControl/>
        <w:shd w:val="clear" w:color="auto" w:fill="FFFFFF"/>
        <w:spacing w:line="480" w:lineRule="auto"/>
        <w:ind w:firstLine="420"/>
        <w:rPr>
          <w:sz w:val="24"/>
          <w:highlight w:val="none"/>
        </w:rPr>
      </w:pPr>
      <w:r>
        <w:rPr>
          <w:rFonts w:hint="eastAsia"/>
          <w:sz w:val="24"/>
          <w:highlight w:val="none"/>
        </w:rPr>
        <w:t>所属</w:t>
      </w:r>
      <w:r>
        <w:rPr>
          <w:sz w:val="24"/>
          <w:highlight w:val="none"/>
        </w:rPr>
        <w:t>行业：</w:t>
      </w:r>
      <w:r>
        <w:rPr>
          <w:rFonts w:hint="eastAsia" w:ascii="宋体" w:hAnsi="宋体" w:eastAsia="宋体" w:cs="宋体"/>
          <w:kern w:val="0"/>
          <w:sz w:val="24"/>
          <w:szCs w:val="24"/>
          <w:highlight w:val="none"/>
        </w:rPr>
        <w:t>□</w:t>
      </w:r>
      <w:r>
        <w:rPr>
          <w:rFonts w:hint="eastAsia"/>
          <w:sz w:val="24"/>
          <w:highlight w:val="none"/>
        </w:rPr>
        <w:t>农、林、牧、渔业　　</w:t>
      </w:r>
      <w:r>
        <w:rPr>
          <w:rFonts w:hint="eastAsia" w:ascii="宋体" w:hAnsi="宋体" w:eastAsia="宋体" w:cs="宋体"/>
          <w:kern w:val="0"/>
          <w:sz w:val="24"/>
          <w:szCs w:val="24"/>
          <w:highlight w:val="none"/>
        </w:rPr>
        <w:t>□</w:t>
      </w:r>
      <w:r>
        <w:rPr>
          <w:rFonts w:hint="eastAsia"/>
          <w:sz w:val="24"/>
          <w:highlight w:val="none"/>
        </w:rPr>
        <w:t xml:space="preserve">工业   </w:t>
      </w:r>
      <w:r>
        <w:rPr>
          <w:rFonts w:hint="eastAsia" w:ascii="宋体" w:hAnsi="宋体" w:eastAsia="宋体" w:cs="宋体"/>
          <w:kern w:val="0"/>
          <w:sz w:val="24"/>
          <w:szCs w:val="24"/>
          <w:highlight w:val="none"/>
        </w:rPr>
        <w:t>□</w:t>
      </w:r>
      <w:r>
        <w:rPr>
          <w:rFonts w:hint="eastAsia"/>
          <w:sz w:val="24"/>
          <w:highlight w:val="none"/>
        </w:rPr>
        <w:t xml:space="preserve">建筑业  </w:t>
      </w:r>
      <w:r>
        <w:rPr>
          <w:rFonts w:hint="eastAsia" w:ascii="宋体" w:hAnsi="宋体" w:eastAsia="宋体" w:cs="宋体"/>
          <w:kern w:val="0"/>
          <w:sz w:val="24"/>
          <w:szCs w:val="24"/>
          <w:highlight w:val="none"/>
        </w:rPr>
        <w:t>□</w:t>
      </w:r>
      <w:r>
        <w:rPr>
          <w:rFonts w:hint="eastAsia"/>
          <w:sz w:val="24"/>
          <w:highlight w:val="none"/>
        </w:rPr>
        <w:t xml:space="preserve">批发业  </w:t>
      </w:r>
      <w:r>
        <w:rPr>
          <w:rFonts w:hint="eastAsia" w:ascii="宋体" w:hAnsi="宋体" w:eastAsia="宋体" w:cs="宋体"/>
          <w:kern w:val="0"/>
          <w:sz w:val="24"/>
          <w:szCs w:val="24"/>
          <w:highlight w:val="none"/>
        </w:rPr>
        <w:t>□</w:t>
      </w:r>
      <w:r>
        <w:rPr>
          <w:rFonts w:hint="eastAsia"/>
          <w:sz w:val="24"/>
          <w:highlight w:val="none"/>
        </w:rPr>
        <w:t xml:space="preserve">零售业  </w:t>
      </w:r>
      <w:r>
        <w:rPr>
          <w:rFonts w:hint="eastAsia" w:ascii="宋体" w:hAnsi="宋体" w:eastAsia="宋体" w:cs="宋体"/>
          <w:kern w:val="0"/>
          <w:sz w:val="24"/>
          <w:szCs w:val="24"/>
          <w:highlight w:val="none"/>
        </w:rPr>
        <w:t>□</w:t>
      </w:r>
      <w:r>
        <w:rPr>
          <w:rFonts w:hint="eastAsia"/>
          <w:sz w:val="24"/>
          <w:highlight w:val="none"/>
        </w:rPr>
        <w:t xml:space="preserve">交通运输业  </w:t>
      </w:r>
      <w:r>
        <w:rPr>
          <w:rFonts w:hint="eastAsia" w:ascii="宋体" w:hAnsi="宋体" w:eastAsia="宋体" w:cs="宋体"/>
          <w:kern w:val="0"/>
          <w:sz w:val="24"/>
          <w:szCs w:val="24"/>
          <w:highlight w:val="none"/>
        </w:rPr>
        <w:t>□</w:t>
      </w:r>
      <w:r>
        <w:rPr>
          <w:rFonts w:hint="eastAsia"/>
          <w:sz w:val="24"/>
          <w:highlight w:val="none"/>
        </w:rPr>
        <w:t xml:space="preserve">仓储业  </w:t>
      </w:r>
      <w:r>
        <w:rPr>
          <w:rFonts w:hint="eastAsia" w:ascii="宋体" w:hAnsi="宋体" w:eastAsia="宋体" w:cs="宋体"/>
          <w:kern w:val="0"/>
          <w:sz w:val="24"/>
          <w:szCs w:val="24"/>
          <w:highlight w:val="none"/>
        </w:rPr>
        <w:t>□</w:t>
      </w:r>
      <w:r>
        <w:rPr>
          <w:rFonts w:hint="eastAsia"/>
          <w:sz w:val="24"/>
          <w:highlight w:val="none"/>
        </w:rPr>
        <w:t xml:space="preserve">邮政业  </w:t>
      </w:r>
      <w:r>
        <w:rPr>
          <w:rFonts w:hint="eastAsia" w:ascii="宋体" w:hAnsi="宋体" w:eastAsia="宋体" w:cs="宋体"/>
          <w:kern w:val="0"/>
          <w:sz w:val="24"/>
          <w:szCs w:val="24"/>
          <w:highlight w:val="none"/>
        </w:rPr>
        <w:t>□</w:t>
      </w:r>
      <w:r>
        <w:rPr>
          <w:rFonts w:hint="eastAsia"/>
          <w:sz w:val="24"/>
          <w:highlight w:val="none"/>
        </w:rPr>
        <w:t xml:space="preserve">住宿业  </w:t>
      </w:r>
      <w:r>
        <w:rPr>
          <w:rFonts w:hint="eastAsia" w:ascii="宋体" w:hAnsi="宋体" w:eastAsia="宋体" w:cs="宋体"/>
          <w:kern w:val="0"/>
          <w:sz w:val="24"/>
          <w:szCs w:val="24"/>
          <w:highlight w:val="none"/>
        </w:rPr>
        <w:t>□</w:t>
      </w:r>
      <w:r>
        <w:rPr>
          <w:rFonts w:hint="eastAsia"/>
          <w:sz w:val="24"/>
          <w:highlight w:val="none"/>
        </w:rPr>
        <w:t xml:space="preserve">餐饮业  </w:t>
      </w:r>
      <w:r>
        <w:rPr>
          <w:rFonts w:hint="eastAsia" w:ascii="宋体" w:hAnsi="宋体" w:eastAsia="宋体" w:cs="宋体"/>
          <w:kern w:val="0"/>
          <w:sz w:val="24"/>
          <w:szCs w:val="24"/>
          <w:highlight w:val="none"/>
        </w:rPr>
        <w:t>□</w:t>
      </w:r>
      <w:r>
        <w:rPr>
          <w:rFonts w:hint="eastAsia"/>
          <w:sz w:val="24"/>
          <w:highlight w:val="none"/>
        </w:rPr>
        <w:t xml:space="preserve">信息传输业  </w:t>
      </w:r>
      <w:r>
        <w:rPr>
          <w:rFonts w:hint="eastAsia" w:ascii="宋体" w:hAnsi="宋体" w:eastAsia="宋体" w:cs="宋体"/>
          <w:kern w:val="0"/>
          <w:sz w:val="24"/>
          <w:szCs w:val="24"/>
          <w:highlight w:val="none"/>
        </w:rPr>
        <w:sym w:font="Wingdings 2" w:char="0052"/>
      </w:r>
      <w:r>
        <w:rPr>
          <w:rFonts w:hint="eastAsia"/>
          <w:sz w:val="24"/>
          <w:highlight w:val="none"/>
        </w:rPr>
        <w:t xml:space="preserve">软件和信息技术服务业  </w:t>
      </w:r>
      <w:r>
        <w:rPr>
          <w:rFonts w:hint="eastAsia" w:ascii="宋体" w:hAnsi="宋体" w:eastAsia="宋体" w:cs="宋体"/>
          <w:kern w:val="0"/>
          <w:sz w:val="24"/>
          <w:szCs w:val="24"/>
          <w:highlight w:val="none"/>
        </w:rPr>
        <w:t>□</w:t>
      </w:r>
      <w:r>
        <w:rPr>
          <w:rFonts w:hint="eastAsia"/>
          <w:sz w:val="24"/>
          <w:highlight w:val="none"/>
        </w:rPr>
        <w:t xml:space="preserve">房地产开发经营  </w:t>
      </w:r>
      <w:r>
        <w:rPr>
          <w:rFonts w:hint="eastAsia" w:ascii="宋体" w:hAnsi="宋体" w:eastAsia="宋体" w:cs="宋体"/>
          <w:kern w:val="0"/>
          <w:sz w:val="24"/>
          <w:szCs w:val="24"/>
          <w:highlight w:val="none"/>
        </w:rPr>
        <w:t>□</w:t>
      </w:r>
      <w:r>
        <w:rPr>
          <w:rFonts w:hint="eastAsia"/>
          <w:sz w:val="24"/>
          <w:highlight w:val="none"/>
        </w:rPr>
        <w:t xml:space="preserve">物业管理  </w:t>
      </w:r>
      <w:r>
        <w:rPr>
          <w:rFonts w:hint="eastAsia" w:ascii="宋体" w:hAnsi="宋体" w:eastAsia="宋体" w:cs="宋体"/>
          <w:kern w:val="0"/>
          <w:sz w:val="24"/>
          <w:szCs w:val="24"/>
          <w:highlight w:val="none"/>
        </w:rPr>
        <w:t>□</w:t>
      </w:r>
      <w:r>
        <w:rPr>
          <w:rFonts w:hint="eastAsia"/>
          <w:sz w:val="24"/>
          <w:highlight w:val="none"/>
        </w:rPr>
        <w:t xml:space="preserve">租赁和商务服务业  </w:t>
      </w:r>
      <w:r>
        <w:rPr>
          <w:rFonts w:hint="eastAsia" w:ascii="宋体" w:hAnsi="宋体" w:eastAsia="宋体" w:cs="宋体"/>
          <w:kern w:val="0"/>
          <w:sz w:val="24"/>
          <w:szCs w:val="24"/>
          <w:highlight w:val="none"/>
        </w:rPr>
        <w:t>□</w:t>
      </w:r>
      <w:r>
        <w:rPr>
          <w:rFonts w:hint="eastAsia"/>
          <w:sz w:val="24"/>
          <w:highlight w:val="none"/>
        </w:rPr>
        <w:t>其他未列明行业</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sz w:val="24"/>
          <w:highlight w:val="none"/>
        </w:rPr>
        <w:t>节能</w:t>
      </w:r>
      <w:r>
        <w:rPr>
          <w:sz w:val="24"/>
          <w:highlight w:val="none"/>
        </w:rPr>
        <w:t>：</w:t>
      </w:r>
      <w:r>
        <w:rPr>
          <w:rFonts w:hint="eastAsia" w:ascii="宋体" w:hAnsi="宋体" w:eastAsia="宋体" w:cs="宋体"/>
          <w:kern w:val="0"/>
          <w:sz w:val="24"/>
          <w:szCs w:val="24"/>
          <w:highlight w:val="none"/>
        </w:rPr>
        <w:t xml:space="preserve">□是   </w:t>
      </w: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 xml:space="preserve">否            </w:t>
      </w:r>
      <w:r>
        <w:rPr>
          <w:rFonts w:hint="eastAsia"/>
          <w:sz w:val="24"/>
          <w:highlight w:val="none"/>
        </w:rPr>
        <w:t>环保</w:t>
      </w:r>
      <w:r>
        <w:rPr>
          <w:sz w:val="24"/>
          <w:highlight w:val="none"/>
        </w:rPr>
        <w:t>：</w:t>
      </w:r>
      <w:r>
        <w:rPr>
          <w:rFonts w:hint="eastAsia" w:ascii="宋体" w:hAnsi="宋体" w:eastAsia="宋体" w:cs="宋体"/>
          <w:kern w:val="0"/>
          <w:sz w:val="24"/>
          <w:szCs w:val="24"/>
          <w:highlight w:val="none"/>
        </w:rPr>
        <w:t xml:space="preserve">□是   </w:t>
      </w: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否</w:t>
      </w:r>
    </w:p>
    <w:p>
      <w:pPr>
        <w:pStyle w:val="56"/>
        <w:adjustRightInd w:val="0"/>
        <w:snapToGrid w:val="0"/>
        <w:spacing w:line="360" w:lineRule="auto"/>
        <w:ind w:left="210" w:leftChars="100" w:firstLine="240" w:firstLineChars="1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功能要求：</w:t>
      </w:r>
    </w:p>
    <w:p>
      <w:pPr>
        <w:pStyle w:val="56"/>
        <w:adjustRightInd w:val="0"/>
        <w:snapToGrid w:val="0"/>
        <w:spacing w:line="360" w:lineRule="auto"/>
        <w:ind w:left="210" w:leftChars="100" w:firstLine="240" w:firstLineChars="100"/>
        <w:rPr>
          <w:rFonts w:asciiTheme="minorEastAsia" w:hAnsiTheme="minorEastAsia" w:cstheme="minorEastAsia"/>
          <w:sz w:val="24"/>
          <w:szCs w:val="24"/>
          <w:highlight w:val="none"/>
          <w:lang w:val="zh-CN"/>
        </w:rPr>
      </w:pPr>
      <w:r>
        <w:rPr>
          <w:rFonts w:hint="eastAsia" w:asciiTheme="minorEastAsia" w:hAnsiTheme="minorEastAsia" w:cstheme="minorEastAsia"/>
          <w:sz w:val="24"/>
          <w:szCs w:val="24"/>
          <w:highlight w:val="none"/>
          <w:lang w:val="zh-CN"/>
        </w:rPr>
        <w:t>1．</w:t>
      </w:r>
      <w:r>
        <w:rPr>
          <w:rFonts w:hint="eastAsia" w:asciiTheme="minorEastAsia" w:hAnsiTheme="minorEastAsia" w:cstheme="minorEastAsia"/>
          <w:sz w:val="24"/>
          <w:szCs w:val="24"/>
          <w:highlight w:val="none"/>
        </w:rPr>
        <w:t>匹配国家级虚拟仿真项目申报要求</w:t>
      </w:r>
      <w:r>
        <w:rPr>
          <w:rFonts w:hint="eastAsia" w:asciiTheme="minorEastAsia" w:hAnsiTheme="minorEastAsia" w:cstheme="minorEastAsia"/>
          <w:sz w:val="24"/>
          <w:szCs w:val="24"/>
          <w:highlight w:val="none"/>
          <w:lang w:val="zh-CN"/>
        </w:rPr>
        <w:t>。</w:t>
      </w:r>
    </w:p>
    <w:p>
      <w:pPr>
        <w:pStyle w:val="56"/>
        <w:adjustRightInd w:val="0"/>
        <w:snapToGrid w:val="0"/>
        <w:spacing w:line="360" w:lineRule="auto"/>
        <w:ind w:left="210" w:leftChars="100" w:firstLine="240" w:firstLineChars="100"/>
        <w:rPr>
          <w:rFonts w:asciiTheme="minorEastAsia" w:hAnsiTheme="minorEastAsia" w:cstheme="minorEastAsia"/>
          <w:sz w:val="24"/>
          <w:szCs w:val="24"/>
          <w:highlight w:val="none"/>
          <w:lang w:val="zh-CN"/>
        </w:rPr>
      </w:pPr>
      <w:r>
        <w:rPr>
          <w:rFonts w:hint="eastAsia" w:asciiTheme="minorEastAsia" w:hAnsiTheme="minorEastAsia" w:cstheme="minorEastAsia"/>
          <w:sz w:val="24"/>
          <w:szCs w:val="24"/>
          <w:highlight w:val="none"/>
          <w:lang w:val="zh-CN"/>
        </w:rPr>
        <w:t>2.⑴ 建模、场景制作：单模型要求面数控制在10-100万面左右，场景模型面数控制在500万面左右保存成保质量模型，包含骨架以及蒙皮；</w:t>
      </w:r>
    </w:p>
    <w:p>
      <w:pPr>
        <w:pStyle w:val="56"/>
        <w:adjustRightInd w:val="0"/>
        <w:snapToGrid w:val="0"/>
        <w:spacing w:line="360" w:lineRule="auto"/>
        <w:ind w:left="210" w:leftChars="100" w:firstLine="240" w:firstLineChars="100"/>
        <w:rPr>
          <w:rFonts w:asciiTheme="minorEastAsia" w:hAnsiTheme="minorEastAsia" w:cstheme="minorEastAsia"/>
          <w:sz w:val="24"/>
          <w:szCs w:val="24"/>
          <w:highlight w:val="none"/>
          <w:lang w:val="zh-CN"/>
        </w:rPr>
      </w:pPr>
      <w:r>
        <w:rPr>
          <w:rFonts w:hint="eastAsia" w:asciiTheme="minorEastAsia" w:hAnsiTheme="minorEastAsia" w:cstheme="minorEastAsia"/>
          <w:sz w:val="24"/>
          <w:szCs w:val="24"/>
          <w:highlight w:val="none"/>
          <w:lang w:val="zh-CN"/>
        </w:rPr>
        <w:t>⑵ 保证每一个模型都拥有色彩，法线，高光，反射贴图；</w:t>
      </w:r>
    </w:p>
    <w:p>
      <w:pPr>
        <w:pStyle w:val="56"/>
        <w:adjustRightInd w:val="0"/>
        <w:snapToGrid w:val="0"/>
        <w:spacing w:line="360" w:lineRule="auto"/>
        <w:ind w:left="210" w:leftChars="100" w:firstLine="240" w:firstLineChars="100"/>
        <w:rPr>
          <w:rFonts w:asciiTheme="minorEastAsia" w:hAnsiTheme="minorEastAsia" w:cstheme="minorEastAsia"/>
          <w:sz w:val="24"/>
          <w:szCs w:val="24"/>
          <w:highlight w:val="none"/>
          <w:lang w:val="zh-CN"/>
        </w:rPr>
      </w:pPr>
      <w:r>
        <w:rPr>
          <w:rFonts w:hint="eastAsia" w:asciiTheme="minorEastAsia" w:hAnsiTheme="minorEastAsia" w:cstheme="minorEastAsia"/>
          <w:sz w:val="24"/>
          <w:szCs w:val="24"/>
          <w:highlight w:val="none"/>
          <w:lang w:val="zh-CN"/>
        </w:rPr>
        <w:t>⑶ 场景模型建模真实还原需求场景，形成比例与真实场景模型1：1；建模工具选择3DSMax以及MAYA，能够输出FBX、obj、3DS等常见模型格式，可进行模型的二次使用；模型的贴图格式类型基本以*.png、*.jpg、*.dds为主；贴图类型以2的次方为基准；</w:t>
      </w:r>
    </w:p>
    <w:p>
      <w:pPr>
        <w:pStyle w:val="56"/>
        <w:adjustRightInd w:val="0"/>
        <w:snapToGrid w:val="0"/>
        <w:spacing w:line="360" w:lineRule="auto"/>
        <w:ind w:left="210" w:leftChars="100" w:firstLine="240" w:firstLineChars="100"/>
        <w:rPr>
          <w:rFonts w:asciiTheme="minorEastAsia" w:hAnsiTheme="minorEastAsia" w:cstheme="minorEastAsia"/>
          <w:sz w:val="24"/>
          <w:szCs w:val="24"/>
          <w:highlight w:val="none"/>
          <w:lang w:val="zh-CN"/>
        </w:rPr>
      </w:pPr>
      <w:r>
        <w:rPr>
          <w:rFonts w:hint="eastAsia" w:asciiTheme="minorEastAsia" w:hAnsiTheme="minorEastAsia" w:cstheme="minorEastAsia"/>
          <w:sz w:val="24"/>
          <w:szCs w:val="24"/>
          <w:highlight w:val="none"/>
          <w:lang w:val="zh-CN"/>
        </w:rPr>
        <w:t>⑷ 支持多种多媒体格式导入，可以完美转换为*.ogv、或者*.ogg类型视频文件，并且能够适应主流视频以及音频格式；</w:t>
      </w:r>
    </w:p>
    <w:p>
      <w:pPr>
        <w:pStyle w:val="56"/>
        <w:adjustRightInd w:val="0"/>
        <w:snapToGrid w:val="0"/>
        <w:spacing w:line="360" w:lineRule="auto"/>
        <w:ind w:left="210" w:leftChars="100" w:firstLine="240" w:firstLineChars="100"/>
        <w:rPr>
          <w:rFonts w:asciiTheme="minorEastAsia" w:hAnsiTheme="minorEastAsia" w:cstheme="minorEastAsia"/>
          <w:sz w:val="24"/>
          <w:szCs w:val="24"/>
          <w:highlight w:val="none"/>
          <w:lang w:val="zh-CN"/>
        </w:rPr>
      </w:pPr>
      <w:r>
        <w:rPr>
          <w:rFonts w:hint="eastAsia" w:asciiTheme="minorEastAsia" w:hAnsiTheme="minorEastAsia" w:cstheme="minorEastAsia"/>
          <w:sz w:val="24"/>
          <w:szCs w:val="24"/>
          <w:highlight w:val="none"/>
          <w:lang w:val="zh-CN"/>
        </w:rPr>
        <w:t>⑸ 支持场景UI，UI设计满足场景风格，支持外部导入UI制作以及效果，同时支持系统自带UI，满足场景UI的需求；。</w:t>
      </w:r>
    </w:p>
    <w:p>
      <w:pPr>
        <w:pStyle w:val="56"/>
        <w:adjustRightInd w:val="0"/>
        <w:snapToGrid w:val="0"/>
        <w:spacing w:line="360" w:lineRule="auto"/>
        <w:ind w:left="210" w:leftChars="100" w:firstLine="240" w:firstLineChars="100"/>
        <w:rPr>
          <w:rFonts w:asciiTheme="minorEastAsia" w:hAnsiTheme="minorEastAsia" w:cstheme="minorEastAsia"/>
          <w:sz w:val="24"/>
          <w:szCs w:val="24"/>
          <w:highlight w:val="none"/>
          <w:lang w:val="zh-CN"/>
        </w:rPr>
      </w:pPr>
      <w:r>
        <w:rPr>
          <w:rFonts w:hint="eastAsia" w:asciiTheme="minorEastAsia" w:hAnsiTheme="minorEastAsia" w:cstheme="minorEastAsia"/>
          <w:sz w:val="24"/>
          <w:szCs w:val="24"/>
          <w:highlight w:val="none"/>
          <w:lang w:val="zh-CN"/>
        </w:rPr>
        <w:t>3.国家级虚拟仿真技术接口：</w:t>
      </w:r>
    </w:p>
    <w:p>
      <w:pPr>
        <w:pStyle w:val="56"/>
        <w:adjustRightInd w:val="0"/>
        <w:snapToGrid w:val="0"/>
        <w:spacing w:line="360" w:lineRule="auto"/>
        <w:ind w:left="210" w:leftChars="100" w:firstLine="240" w:firstLineChars="100"/>
        <w:rPr>
          <w:rFonts w:asciiTheme="minorEastAsia" w:hAnsiTheme="minorEastAsia" w:cstheme="minorEastAsia"/>
          <w:sz w:val="24"/>
          <w:szCs w:val="24"/>
          <w:highlight w:val="none"/>
          <w:lang w:val="zh-CN"/>
        </w:rPr>
      </w:pPr>
      <w:r>
        <w:rPr>
          <w:rFonts w:hint="eastAsia" w:asciiTheme="minorEastAsia" w:hAnsiTheme="minorEastAsia" w:cstheme="minorEastAsia"/>
          <w:sz w:val="24"/>
          <w:szCs w:val="24"/>
          <w:highlight w:val="none"/>
          <w:lang w:val="zh-CN"/>
        </w:rPr>
        <w:t>开发的软件技术参数符合教育部国家虚拟仿真实验教学项目技术接口规范。</w:t>
      </w:r>
    </w:p>
    <w:p>
      <w:pPr>
        <w:pStyle w:val="56"/>
        <w:adjustRightInd w:val="0"/>
        <w:snapToGrid w:val="0"/>
        <w:spacing w:line="360" w:lineRule="auto"/>
        <w:ind w:left="210" w:leftChars="100" w:firstLine="240" w:firstLineChars="100"/>
        <w:rPr>
          <w:rFonts w:asciiTheme="minorEastAsia" w:hAnsiTheme="minorEastAsia" w:cstheme="minorEastAsia"/>
          <w:sz w:val="24"/>
          <w:szCs w:val="24"/>
          <w:highlight w:val="none"/>
          <w:lang w:val="zh-CN"/>
        </w:rPr>
      </w:pPr>
      <w:r>
        <w:rPr>
          <w:rFonts w:hint="eastAsia" w:asciiTheme="minorEastAsia" w:hAnsiTheme="minorEastAsia" w:cstheme="minorEastAsia"/>
          <w:sz w:val="24"/>
          <w:szCs w:val="24"/>
          <w:highlight w:val="none"/>
          <w:lang w:val="zh-CN"/>
        </w:rPr>
        <w:t>⑴需具备用户身份识别规范。</w:t>
      </w:r>
    </w:p>
    <w:p>
      <w:pPr>
        <w:pStyle w:val="56"/>
        <w:adjustRightInd w:val="0"/>
        <w:snapToGrid w:val="0"/>
        <w:spacing w:line="360" w:lineRule="auto"/>
        <w:ind w:left="210" w:leftChars="100" w:firstLine="240" w:firstLineChars="100"/>
        <w:rPr>
          <w:rFonts w:asciiTheme="minorEastAsia" w:hAnsiTheme="minorEastAsia" w:cstheme="minorEastAsia"/>
          <w:sz w:val="24"/>
          <w:szCs w:val="24"/>
          <w:highlight w:val="none"/>
          <w:lang w:val="zh-CN"/>
        </w:rPr>
      </w:pPr>
      <w:r>
        <w:rPr>
          <w:rFonts w:hint="eastAsia" w:asciiTheme="minorEastAsia" w:hAnsiTheme="minorEastAsia" w:cstheme="minorEastAsia"/>
          <w:sz w:val="24"/>
          <w:szCs w:val="24"/>
          <w:highlight w:val="none"/>
          <w:lang w:val="zh-CN"/>
        </w:rPr>
        <w:t>⑵ 需具备实验结果数据回传接口。</w:t>
      </w:r>
    </w:p>
    <w:p>
      <w:pPr>
        <w:pStyle w:val="56"/>
        <w:adjustRightInd w:val="0"/>
        <w:snapToGrid w:val="0"/>
        <w:spacing w:line="360" w:lineRule="auto"/>
        <w:ind w:left="210" w:leftChars="100" w:firstLine="240" w:firstLineChars="1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zh-CN"/>
        </w:rPr>
        <w:t>⑶ 需具备实验操作状态回传接口。。</w:t>
      </w:r>
    </w:p>
    <w:p>
      <w:pPr>
        <w:pStyle w:val="5"/>
        <w:spacing w:after="156"/>
        <w:ind w:firstLine="480"/>
        <w:rPr>
          <w:rFonts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质量要求</w:t>
      </w:r>
    </w:p>
    <w:p>
      <w:pPr>
        <w:widowControl/>
        <w:shd w:val="clear" w:color="auto" w:fill="FFFFFF"/>
        <w:spacing w:line="360" w:lineRule="auto"/>
        <w:ind w:firstLine="480" w:firstLineChars="200"/>
        <w:rPr>
          <w:rFonts w:asciiTheme="minorEastAsia" w:hAnsiTheme="minorEastAsia" w:cstheme="minorEastAsia"/>
          <w:b/>
          <w:bCs/>
          <w:sz w:val="24"/>
          <w:szCs w:val="24"/>
          <w:highlight w:val="none"/>
        </w:rPr>
      </w:pPr>
      <w:r>
        <w:rPr>
          <w:rFonts w:hint="eastAsia" w:asciiTheme="minorEastAsia" w:hAnsiTheme="minorEastAsia" w:cstheme="minorEastAsia"/>
          <w:kern w:val="0"/>
          <w:sz w:val="24"/>
          <w:szCs w:val="24"/>
          <w:highlight w:val="none"/>
        </w:rPr>
        <w:t>教学过程中，只需要正常的运行维护。一般硬件厂家均提供一年的售后质保。</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（五）执行政府采购促进中小企业发展的相关政策</w:t>
      </w:r>
    </w:p>
    <w:p>
      <w:pPr>
        <w:widowControl/>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1.□专门面向中小企业采购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不专门面向中小企业采购</w:t>
      </w:r>
    </w:p>
    <w:p>
      <w:pPr>
        <w:widowControl/>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面向的企业规模：□中小企业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□小微企业</w:t>
      </w:r>
    </w:p>
    <w:p>
      <w:pPr>
        <w:widowControl/>
        <w:shd w:val="clear" w:color="auto" w:fill="FFFFFF"/>
        <w:spacing w:line="480" w:lineRule="auto"/>
        <w:ind w:left="315" w:leftChars="150"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预留形式：□项目整体预留  </w:t>
      </w: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设置专门采购包  □以联合体形式参加  □要求合同分包</w:t>
      </w:r>
    </w:p>
    <w:p>
      <w:pPr>
        <w:widowControl/>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t>预留比例：    %</w:t>
      </w:r>
    </w:p>
    <w:p>
      <w:pPr>
        <w:widowControl/>
        <w:shd w:val="clear" w:color="auto" w:fill="FFFFFF"/>
        <w:spacing w:line="480" w:lineRule="auto"/>
        <w:ind w:firstLine="840" w:firstLineChars="350"/>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不专门面向的原因：</w:t>
      </w:r>
    </w:p>
    <w:p>
      <w:pPr>
        <w:widowControl/>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t>□法律法规和国家有关政策明确规定优先或者应当面向事业单位、社会组织等非企业主体采购的</w:t>
      </w:r>
    </w:p>
    <w:p>
      <w:pPr>
        <w:widowControl/>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因确需使用不可替代的专利、专有技术，基础设施限制，或者提供特定公共服务等原因，只能从中小企业之外的供应商处采购的</w:t>
      </w:r>
    </w:p>
    <w:p>
      <w:pPr>
        <w:widowControl/>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t>□按照本办法规定预留采购份额无法确保充分供应、充分竞争，或者存在可能影响政府采购目标实现的情形</w:t>
      </w:r>
    </w:p>
    <w:p>
      <w:pPr>
        <w:widowControl/>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t>□框架协议采购项目</w:t>
      </w:r>
    </w:p>
    <w:p>
      <w:pPr>
        <w:widowControl/>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t>□省级以上人民政府财政部门规定的其他情形</w:t>
      </w:r>
    </w:p>
    <w:p>
      <w:pPr>
        <w:widowControl/>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i/>
          <w:iCs/>
          <w:kern w:val="0"/>
          <w:sz w:val="24"/>
          <w:szCs w:val="24"/>
          <w:highlight w:val="none"/>
        </w:rPr>
        <w:t>注：监狱企业和残疾人福利单位视同小微企业。</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（六）是否采购环境标识产品：是□ 否</w:t>
      </w:r>
      <w:r>
        <w:rPr>
          <w:rFonts w:hint="eastAsia" w:ascii="宋体" w:hAnsi="宋体" w:eastAsia="宋体" w:cs="宋体"/>
          <w:kern w:val="0"/>
          <w:sz w:val="24"/>
          <w:szCs w:val="24"/>
          <w:highlight w:val="none"/>
        </w:rPr>
        <w:sym w:font="Wingdings 2" w:char="0052"/>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（七）是否采购节能产品：是□ 否</w:t>
      </w:r>
      <w:r>
        <w:rPr>
          <w:rFonts w:hint="eastAsia" w:ascii="宋体" w:hAnsi="宋体" w:eastAsia="宋体" w:cs="宋体"/>
          <w:kern w:val="0"/>
          <w:sz w:val="24"/>
          <w:szCs w:val="24"/>
          <w:highlight w:val="none"/>
        </w:rPr>
        <w:sym w:font="Wingdings 2" w:char="0052"/>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（八）项目的采购标的是否包含进口产品：是□ 否</w:t>
      </w:r>
      <w:r>
        <w:rPr>
          <w:rFonts w:hint="eastAsia" w:ascii="宋体" w:hAnsi="宋体" w:eastAsia="宋体" w:cs="宋体"/>
          <w:kern w:val="0"/>
          <w:sz w:val="24"/>
          <w:szCs w:val="24"/>
          <w:highlight w:val="none"/>
        </w:rPr>
        <w:sym w:font="Wingdings 2" w:char="0052"/>
      </w:r>
    </w:p>
    <w:p>
      <w:pPr>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（九）采购标的是否属于政府购买服务：是□（填以下信息）  否</w:t>
      </w:r>
      <w:r>
        <w:rPr>
          <w:rFonts w:hint="eastAsia" w:ascii="宋体" w:hAnsi="宋体" w:eastAsia="宋体" w:cs="宋体"/>
          <w:kern w:val="0"/>
          <w:sz w:val="24"/>
          <w:szCs w:val="24"/>
          <w:highlight w:val="none"/>
        </w:rPr>
        <w:sym w:font="Wingdings" w:char="F0FE"/>
      </w:r>
    </w:p>
    <w:p>
      <w:pPr>
        <w:ind w:firstLine="600" w:firstLineChars="250"/>
        <w:rPr>
          <w:rFonts w:ascii="宋体" w:hAnsi="宋体" w:eastAsia="宋体" w:cs="宋体"/>
          <w:kern w:val="0"/>
          <w:sz w:val="24"/>
          <w:szCs w:val="24"/>
          <w:highlight w:val="none"/>
        </w:rPr>
      </w:pPr>
      <w:r>
        <w:rPr>
          <w:rFonts w:hint="eastAsia" w:ascii="宋体" w:hAnsi="宋体" w:eastAsia="宋体" w:cs="宋体"/>
          <w:kern w:val="0"/>
          <w:sz w:val="24"/>
          <w:szCs w:val="24"/>
          <w:highlight w:val="none"/>
        </w:rPr>
        <w:t>政府购买服务的分类：□政府履职所需辅助性服务 □政府向社会公众提供的公共服务</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（十）是否属于政务信息系统项目：是□  否</w:t>
      </w:r>
      <w:r>
        <w:rPr>
          <w:rFonts w:hint="eastAsia" w:ascii="宋体" w:hAnsi="宋体" w:eastAsia="宋体" w:cs="宋体"/>
          <w:kern w:val="0"/>
          <w:sz w:val="24"/>
          <w:szCs w:val="24"/>
          <w:highlight w:val="none"/>
        </w:rPr>
        <w:sym w:font="Wingdings" w:char="F0FE"/>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（十一）是否属于高校、科研院所的科研仪器设备采购：是□  否</w:t>
      </w:r>
      <w:r>
        <w:rPr>
          <w:rFonts w:hint="eastAsia" w:ascii="宋体" w:hAnsi="宋体" w:eastAsia="宋体" w:cs="宋体"/>
          <w:kern w:val="0"/>
          <w:sz w:val="24"/>
          <w:szCs w:val="24"/>
          <w:highlight w:val="none"/>
        </w:rPr>
        <w:sym w:font="Wingdings" w:char="F0FE"/>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（十二）是否属于PPP项目：是□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否</w:t>
      </w:r>
      <w:r>
        <w:rPr>
          <w:rFonts w:hint="eastAsia" w:ascii="宋体" w:hAnsi="宋体" w:eastAsia="宋体" w:cs="宋体"/>
          <w:kern w:val="0"/>
          <w:sz w:val="24"/>
          <w:szCs w:val="24"/>
          <w:highlight w:val="none"/>
        </w:rPr>
        <w:sym w:font="Wingdings" w:char="F0FE"/>
      </w:r>
    </w:p>
    <w:p>
      <w:pPr>
        <w:widowControl/>
        <w:shd w:val="clear" w:color="auto" w:fill="FFFFFF"/>
        <w:spacing w:line="480" w:lineRule="auto"/>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四、项目需求及分包情况、采购标的</w:t>
      </w:r>
    </w:p>
    <w:p>
      <w:pPr>
        <w:widowControl/>
        <w:shd w:val="clear" w:color="auto" w:fill="FFFFFF"/>
        <w:spacing w:line="480" w:lineRule="auto"/>
        <w:outlineLvl w:val="4"/>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供应商一般资格要求</w:t>
      </w:r>
      <w:r>
        <w:rPr>
          <w:rFonts w:ascii="宋体" w:hAnsi="宋体" w:eastAsia="宋体" w:cs="宋体"/>
          <w:bCs/>
          <w:kern w:val="0"/>
          <w:sz w:val="24"/>
          <w:szCs w:val="24"/>
          <w:highlight w:val="none"/>
        </w:rPr>
        <w:t>：</w:t>
      </w:r>
    </w:p>
    <w:tbl>
      <w:tblPr>
        <w:tblStyle w:val="12"/>
        <w:tblpPr w:leftFromText="180" w:rightFromText="180" w:horzAnchor="margin" w:tblpXSpec="center" w:tblpY="-1440"/>
        <w:tblW w:w="10875" w:type="dxa"/>
        <w:tblInd w:w="0" w:type="dxa"/>
        <w:shd w:val="clear" w:color="auto" w:fill="FFFFFF"/>
        <w:tblLayout w:type="autofit"/>
        <w:tblCellMar>
          <w:top w:w="0" w:type="dxa"/>
          <w:left w:w="0" w:type="dxa"/>
          <w:bottom w:w="0" w:type="dxa"/>
          <w:right w:w="0" w:type="dxa"/>
        </w:tblCellMar>
      </w:tblPr>
      <w:tblGrid>
        <w:gridCol w:w="487"/>
        <w:gridCol w:w="4803"/>
        <w:gridCol w:w="5585"/>
      </w:tblGrid>
      <w:tr>
        <w:tblPrEx>
          <w:shd w:val="clear" w:color="auto" w:fill="FFFFFF"/>
          <w:tblCellMar>
            <w:top w:w="0" w:type="dxa"/>
            <w:left w:w="0" w:type="dxa"/>
            <w:bottom w:w="0" w:type="dxa"/>
            <w:right w:w="0" w:type="dxa"/>
          </w:tblCellMar>
        </w:tblPrEx>
        <w:trPr>
          <w:trHeight w:val="480" w:hRule="atLeast"/>
          <w:tblHeader/>
        </w:trPr>
        <w:tc>
          <w:tcPr>
            <w:tcW w:w="521"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4816"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资格要求名称</w:t>
            </w:r>
          </w:p>
        </w:tc>
        <w:tc>
          <w:tcPr>
            <w:tcW w:w="5538"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资格要求详细说明</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投标人应具有独立承担民事责任的能力</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未被列入失信被执行人、重大税收违法案件当事人名单、政府采购严重违法失信行为记录名单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未处于被行政部门禁止参与政府采购活动的期限内</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投标人未处于被行政部门禁止参与政府采购活动的期限内。 【说明：①投标人按招标文件要求提供书面声明材料；②投标人未处于被行政部门禁止参与政府采购活动的期限内。】</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行贿犯罪记录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单位负责人为同一人或者存在直接控股、管理关系的不同供应商，不得参加同一项目的投标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投标文件签章</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投标文件加盖有投标人（法定名称）电子签章。【说明：无须提供证明材料，上传空白页即可，不对本项上传的材料作资格审查】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投标文件资格响应文件的语言</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语言符合招标文件的要求。 【说明：投标人无须提供证明材料，上传空白页即可，不对本项上传的材料作资格审查】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9</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法律、行政法规规定的其他条件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采购人对法律、行政法规规定的其他条件无其他特殊要求，投标人可不提供证明材料。 【说明：投标人无须提供证明材料，上传空白页即可，不对本项上传的材料作资格审查】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不属于国家相关法律法规规定的其他禁止参加投标的情形</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pPr>
        <w:widowControl/>
        <w:shd w:val="clear" w:color="auto" w:fill="FFFFFF"/>
        <w:spacing w:line="480" w:lineRule="auto"/>
        <w:outlineLvl w:val="4"/>
        <w:rPr>
          <w:rFonts w:ascii="宋体" w:hAnsi="宋体" w:eastAsia="宋体" w:cs="宋体"/>
          <w:bCs/>
          <w:kern w:val="0"/>
          <w:sz w:val="24"/>
          <w:szCs w:val="24"/>
          <w:highlight w:val="none"/>
        </w:rPr>
      </w:pPr>
    </w:p>
    <w:p>
      <w:pPr>
        <w:widowControl/>
        <w:shd w:val="clear" w:color="auto" w:fill="FFFFFF"/>
        <w:spacing w:line="480" w:lineRule="auto"/>
        <w:outlineLvl w:val="4"/>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供应商特殊资格要求（如有）：</w:t>
      </w:r>
    </w:p>
    <w:tbl>
      <w:tblPr>
        <w:tblStyle w:val="13"/>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969"/>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480" w:lineRule="auto"/>
              <w:outlineLvl w:val="4"/>
              <w:rPr>
                <w:rFonts w:ascii="宋体" w:hAnsi="宋体" w:eastAsia="宋体" w:cs="宋体"/>
                <w:bCs/>
                <w:kern w:val="0"/>
                <w:sz w:val="24"/>
                <w:szCs w:val="24"/>
                <w:highlight w:val="none"/>
              </w:rPr>
            </w:pPr>
            <w:r>
              <w:rPr>
                <w:rFonts w:ascii="宋体" w:hAnsi="宋体" w:eastAsia="宋体" w:cs="宋体"/>
                <w:b/>
                <w:bCs/>
                <w:kern w:val="0"/>
                <w:sz w:val="24"/>
                <w:szCs w:val="24"/>
                <w:highlight w:val="none"/>
              </w:rPr>
              <w:t>序号</w:t>
            </w:r>
          </w:p>
        </w:tc>
        <w:tc>
          <w:tcPr>
            <w:tcW w:w="3969" w:type="dxa"/>
          </w:tcPr>
          <w:p>
            <w:pPr>
              <w:widowControl/>
              <w:spacing w:line="480" w:lineRule="auto"/>
              <w:jc w:val="center"/>
              <w:outlineLvl w:val="4"/>
              <w:rPr>
                <w:rFonts w:ascii="宋体" w:hAnsi="宋体" w:eastAsia="宋体" w:cs="宋体"/>
                <w:bCs/>
                <w:kern w:val="0"/>
                <w:sz w:val="24"/>
                <w:szCs w:val="24"/>
                <w:highlight w:val="none"/>
              </w:rPr>
            </w:pPr>
            <w:r>
              <w:rPr>
                <w:rFonts w:ascii="宋体" w:hAnsi="宋体" w:eastAsia="宋体" w:cs="宋体"/>
                <w:b/>
                <w:bCs/>
                <w:kern w:val="0"/>
                <w:sz w:val="24"/>
                <w:szCs w:val="24"/>
                <w:highlight w:val="none"/>
              </w:rPr>
              <w:t>资格要求名称</w:t>
            </w:r>
          </w:p>
        </w:tc>
        <w:tc>
          <w:tcPr>
            <w:tcW w:w="6237" w:type="dxa"/>
          </w:tcPr>
          <w:p>
            <w:pPr>
              <w:widowControl/>
              <w:spacing w:line="480" w:lineRule="auto"/>
              <w:jc w:val="center"/>
              <w:outlineLvl w:val="4"/>
              <w:rPr>
                <w:rFonts w:ascii="宋体" w:hAnsi="宋体" w:eastAsia="宋体" w:cs="宋体"/>
                <w:bCs/>
                <w:kern w:val="0"/>
                <w:sz w:val="24"/>
                <w:szCs w:val="24"/>
                <w:highlight w:val="none"/>
              </w:rPr>
            </w:pPr>
            <w:r>
              <w:rPr>
                <w:rFonts w:ascii="宋体" w:hAnsi="宋体" w:eastAsia="宋体" w:cs="宋体"/>
                <w:b/>
                <w:bCs/>
                <w:kern w:val="0"/>
                <w:sz w:val="24"/>
                <w:szCs w:val="24"/>
                <w:highlight w:val="none"/>
              </w:rPr>
              <w:t>资格要求详细说明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480" w:lineRule="auto"/>
              <w:outlineLvl w:val="4"/>
              <w:rPr>
                <w:rFonts w:ascii="宋体" w:hAnsi="宋体" w:eastAsia="宋体" w:cs="宋体"/>
                <w:bCs/>
                <w:kern w:val="0"/>
                <w:sz w:val="24"/>
                <w:szCs w:val="24"/>
                <w:highlight w:val="none"/>
              </w:rPr>
            </w:pPr>
          </w:p>
        </w:tc>
        <w:tc>
          <w:tcPr>
            <w:tcW w:w="3969" w:type="dxa"/>
          </w:tcPr>
          <w:p>
            <w:pPr>
              <w:widowControl/>
              <w:spacing w:line="480" w:lineRule="auto"/>
              <w:outlineLvl w:val="4"/>
              <w:rPr>
                <w:rFonts w:ascii="宋体" w:hAnsi="宋体" w:eastAsia="宋体" w:cs="宋体"/>
                <w:bCs/>
                <w:kern w:val="0"/>
                <w:sz w:val="24"/>
                <w:szCs w:val="24"/>
                <w:highlight w:val="none"/>
              </w:rPr>
            </w:pPr>
          </w:p>
        </w:tc>
        <w:tc>
          <w:tcPr>
            <w:tcW w:w="6237" w:type="dxa"/>
          </w:tcPr>
          <w:p>
            <w:pPr>
              <w:widowControl/>
              <w:spacing w:line="480" w:lineRule="auto"/>
              <w:outlineLvl w:val="4"/>
              <w:rPr>
                <w:rFonts w:ascii="宋体" w:hAnsi="宋体" w:eastAsia="宋体" w:cs="宋体"/>
                <w:bCs/>
                <w:kern w:val="0"/>
                <w:sz w:val="24"/>
                <w:szCs w:val="24"/>
                <w:highlight w:val="none"/>
              </w:rPr>
            </w:pPr>
          </w:p>
        </w:tc>
      </w:tr>
    </w:tbl>
    <w:p>
      <w:pPr>
        <w:widowControl/>
        <w:shd w:val="clear" w:color="auto" w:fill="FFFFFF"/>
        <w:spacing w:line="480" w:lineRule="auto"/>
        <w:outlineLvl w:val="4"/>
        <w:rPr>
          <w:rFonts w:ascii="宋体" w:hAnsi="宋体" w:eastAsia="宋体" w:cs="宋体"/>
          <w:bCs/>
          <w:kern w:val="0"/>
          <w:sz w:val="24"/>
          <w:szCs w:val="24"/>
          <w:highlight w:val="none"/>
        </w:rPr>
      </w:pPr>
    </w:p>
    <w:p>
      <w:pPr>
        <w:widowControl/>
        <w:shd w:val="clear" w:color="auto" w:fill="FFFFFF"/>
        <w:spacing w:line="480" w:lineRule="auto"/>
        <w:ind w:firstLine="420"/>
        <w:outlineLvl w:val="4"/>
        <w:rPr>
          <w:rFonts w:ascii="宋体" w:hAnsi="宋体" w:eastAsia="宋体" w:cs="宋体"/>
          <w:bCs/>
          <w:kern w:val="0"/>
          <w:sz w:val="24"/>
          <w:szCs w:val="24"/>
          <w:highlight w:val="none"/>
        </w:rPr>
      </w:pPr>
    </w:p>
    <w:p>
      <w:pPr>
        <w:widowControl/>
        <w:shd w:val="clear" w:color="auto" w:fill="FFFFFF"/>
        <w:spacing w:line="480" w:lineRule="auto"/>
        <w:ind w:firstLine="420"/>
        <w:outlineLvl w:val="4"/>
        <w:rPr>
          <w:rFonts w:ascii="宋体" w:hAnsi="宋体" w:eastAsia="宋体" w:cs="宋体"/>
          <w:kern w:val="0"/>
          <w:sz w:val="24"/>
          <w:szCs w:val="24"/>
          <w:highlight w:val="none"/>
        </w:rPr>
      </w:pPr>
      <w:r>
        <w:rPr>
          <w:rFonts w:hint="eastAsia" w:ascii="宋体" w:hAnsi="宋体" w:eastAsia="宋体" w:cs="宋体"/>
          <w:kern w:val="0"/>
          <w:sz w:val="24"/>
          <w:szCs w:val="24"/>
          <w:highlight w:val="none"/>
        </w:rPr>
        <w:t>技术要求与标准：</w:t>
      </w:r>
    </w:p>
    <w:p>
      <w:pPr>
        <w:widowControl/>
        <w:shd w:val="clear" w:color="auto" w:fill="FFFFFF"/>
        <w:spacing w:line="480" w:lineRule="auto"/>
        <w:ind w:firstLine="420"/>
        <w:outlineLvl w:val="4"/>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pPr>
        <w:widowControl/>
        <w:shd w:val="clear" w:color="auto" w:fill="FFFFFF"/>
        <w:spacing w:line="480" w:lineRule="auto"/>
        <w:ind w:firstLine="420"/>
        <w:outlineLvl w:val="4"/>
        <w:rPr>
          <w:sz w:val="24"/>
          <w:highlight w:val="none"/>
        </w:rPr>
      </w:pPr>
      <w:r>
        <w:rPr>
          <w:rFonts w:hint="eastAsia"/>
          <w:sz w:val="24"/>
          <w:highlight w:val="none"/>
        </w:rPr>
        <w:t>品目信息一的</w:t>
      </w:r>
      <w:r>
        <w:rPr>
          <w:sz w:val="24"/>
          <w:highlight w:val="none"/>
        </w:rPr>
        <w:t>标的参数：</w:t>
      </w:r>
    </w:p>
    <w:tbl>
      <w:tblPr>
        <w:tblStyle w:val="13"/>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51"/>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pPr>
              <w:widowControl/>
              <w:rPr>
                <w:rFonts w:asciiTheme="minorEastAsia" w:hAnsiTheme="minorEastAsia" w:cstheme="minorEastAsia"/>
                <w:b/>
                <w:kern w:val="0"/>
                <w:sz w:val="24"/>
                <w:szCs w:val="24"/>
                <w:highlight w:val="none"/>
              </w:rPr>
            </w:pPr>
            <w:r>
              <w:rPr>
                <w:rFonts w:hint="eastAsia" w:asciiTheme="minorEastAsia" w:hAnsiTheme="minorEastAsia" w:cstheme="minorEastAsia"/>
                <w:b/>
                <w:kern w:val="0"/>
                <w:sz w:val="24"/>
                <w:szCs w:val="24"/>
                <w:highlight w:val="none"/>
              </w:rPr>
              <w:t>参数性质</w:t>
            </w:r>
          </w:p>
        </w:tc>
        <w:tc>
          <w:tcPr>
            <w:tcW w:w="851" w:type="dxa"/>
          </w:tcPr>
          <w:p>
            <w:pPr>
              <w:widowControl/>
              <w:jc w:val="center"/>
              <w:rPr>
                <w:rFonts w:asciiTheme="minorEastAsia" w:hAnsiTheme="minorEastAsia" w:cstheme="minorEastAsia"/>
                <w:b/>
                <w:kern w:val="0"/>
                <w:sz w:val="24"/>
                <w:szCs w:val="24"/>
                <w:highlight w:val="none"/>
              </w:rPr>
            </w:pPr>
            <w:r>
              <w:rPr>
                <w:rFonts w:hint="eastAsia" w:asciiTheme="minorEastAsia" w:hAnsiTheme="minorEastAsia" w:cstheme="minorEastAsia"/>
                <w:b/>
                <w:kern w:val="0"/>
                <w:sz w:val="24"/>
                <w:szCs w:val="24"/>
                <w:highlight w:val="none"/>
              </w:rPr>
              <w:t>序号</w:t>
            </w:r>
          </w:p>
        </w:tc>
        <w:tc>
          <w:tcPr>
            <w:tcW w:w="8154" w:type="dxa"/>
          </w:tcPr>
          <w:p>
            <w:pPr>
              <w:widowControl/>
              <w:jc w:val="center"/>
              <w:rPr>
                <w:rFonts w:asciiTheme="minorEastAsia" w:hAnsiTheme="minorEastAsia" w:cstheme="minorEastAsia"/>
                <w:b/>
                <w:kern w:val="0"/>
                <w:sz w:val="24"/>
                <w:szCs w:val="24"/>
                <w:highlight w:val="none"/>
              </w:rPr>
            </w:pPr>
            <w:r>
              <w:rPr>
                <w:rFonts w:hint="eastAsia" w:asciiTheme="minorEastAsia" w:hAnsiTheme="minorEastAsia" w:cstheme="minorEastAsia"/>
                <w:b/>
                <w:kern w:val="0"/>
                <w:sz w:val="24"/>
                <w:szCs w:val="24"/>
                <w:highlight w:val="none"/>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pPr>
              <w:widowControl/>
              <w:rPr>
                <w:rFonts w:asciiTheme="minorEastAsia" w:hAnsiTheme="minorEastAsia" w:cstheme="minorEastAsia"/>
                <w:kern w:val="0"/>
                <w:sz w:val="24"/>
                <w:szCs w:val="24"/>
                <w:highlight w:val="none"/>
              </w:rPr>
            </w:pPr>
          </w:p>
        </w:tc>
        <w:tc>
          <w:tcPr>
            <w:tcW w:w="851" w:type="dxa"/>
          </w:tcPr>
          <w:p>
            <w:pPr>
              <w:widowControl/>
              <w:rPr>
                <w:rFonts w:asciiTheme="minorEastAsia" w:hAnsiTheme="minorEastAsia" w:cstheme="minorEastAsia"/>
                <w:kern w:val="0"/>
                <w:sz w:val="24"/>
                <w:szCs w:val="24"/>
                <w:highlight w:val="none"/>
              </w:rPr>
            </w:pPr>
          </w:p>
        </w:tc>
        <w:tc>
          <w:tcPr>
            <w:tcW w:w="8154" w:type="dxa"/>
          </w:tcPr>
          <w:p>
            <w:pPr>
              <w:widowControl/>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一、软件内容要求</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整个虚拟仿真实验系统必须基于真实酥油花制作场景进行开发，学员进行酥油花工艺学习、“文成公主入藏”酥油花作品概念设计、“文成公主入藏”作品的酥油花制作和“文成公主入藏”酥油花的展示与保存四大环节操作，要求系统中所有操作的设备和材料与真实实物一致，所有实验流程也与真实操作流程吻合；</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虚拟仿真实验系统至少包含5个模块（“文成公主入藏”的历史学习-&gt;布达拉宫采风学习-&gt;酥油花概念设计方法-&gt;酥油花工艺学习-&gt;效果互评），至少应包含9个知识点（“文成公主入藏”的历史与意义、“文成公主入藏”酥油花雕塑创作采风中的素材归纳、酥油花的产生与发展、酥油花的艺术特征、酥油花概念设计方法、“扎骨架”工艺、“做胚胎”方法、“敷塑”方法、“装盘”知识）；</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要求虚拟仿真实验系统至少分为16个操作步骤（登录系统学习知识点、观看实验介绍视频、新手培训和实验操作简介、地图探索和收集采风、采风素材整理、酥油花工艺起源教学、酥油花工艺的发展、酥油花的艺术特征、学习酥油花概念设计、样例“边玛墙”的学习、酥油花骨架的制作、酥油花胚胎的制作、酥油花涂塑的制作、对酥油花的组装及成品展示、酥油花作品评价排行、生成实验报告）；</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4、在具体实验过程中，加入虚拟讲解员以熊猫形象为原型,以熊猫博士为定位进行形象设计。</w:t>
            </w:r>
            <w:r>
              <w:rPr>
                <w:rFonts w:hint="eastAsia" w:ascii="宋体" w:hAnsi="宋体" w:eastAsia="宋体" w:cs="宋体"/>
                <w:kern w:val="0"/>
                <w:sz w:val="24"/>
                <w:szCs w:val="24"/>
                <w:highlight w:val="none"/>
              </w:rPr>
              <w:t>虚拟讲解员</w:t>
            </w:r>
            <w:r>
              <w:rPr>
                <w:rFonts w:hint="eastAsia" w:ascii="宋体" w:hAnsi="宋体" w:eastAsia="宋体" w:cs="宋体"/>
                <w:kern w:val="0"/>
                <w:sz w:val="24"/>
                <w:szCs w:val="24"/>
                <w:highlight w:val="none"/>
              </w:rPr>
              <w:t>将带领学员进行《文成公主入藏：酥油花制作工艺虚拟仿真》的实验操作，在实验过程中引导学员进行问题思考与界面操作等流程；</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 “文成公主入藏”的历史学习模块至少包含以下内容：</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（1）帮助学生学习相关知识点，至少包括文成公主入藏的背景、藏文化的知识、酥油花的知识、雕塑的知识；</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（2）通过三维动画再现文成公主入藏的历史，让学生对创作素材的背景有一个初步了解，加深对汉藏两族友好交往历史的认识；</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对新注册同学们进行新手培训，并阅读实验简介，帮助第一次接触到本次虚拟实验的用户熟悉该实验的界面，在阅读"实验背景"、"实验目的"和"实验流程"后，可以对文成公主入藏的知识、藏文化的知识、酥油花的制作有一个整体性的认知；（投标现场对实验简介中的"实验背景"、"实验目的"和"实验流程"进行原型系统及文案展示）</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6、布达拉宫采风学习学习模块至少包含以下内容：</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（1）学生重走文成公主的入藏路线，进行虚拟采风实践，一路探索当地的特色风土人情，最终在布达拉宫进行重点采风。学会各种获取资料的方法，收集自身创作所需要的素材；</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（2）学生对自身素材包中的材料进行分门别类的整理和组合，为后续的酥油花创作提供灵感启发和参考素材；</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7、酥油花概念设计方法模块至少包含以下内容：</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（1）让学生对酥油花的产生起源建立初步理解，通过视频以及情景互动的方式，让学生入理解人酥油花的历史背景，切身感受到其文化背后的爱国情怀；</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（2）通过对酥油花工艺发展的介绍，让学生对其技艺传承建立基本认知框架，针对酥油花的创作取材，制作分工进行提问，为后期深入学习酥油花制作方法打下良好基础；</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（3）通过视频向学生展现酥油花丰富的创作题材、外形特征以及艺术魅力，播放结束后以提问的形式加深学生印象；</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（4）通过视频帮助学生掌握酥油花制作的前期工艺流程，理解采风，收集素材，制作草图，设计构图的概念设计基本过程；</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▲8、酥油花工艺学习学习模块至少包含以下内容：</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通过样例“边玛墙”部件的学习启发学生的思考，进行探究式学习，学生参考样例进行画面构思，掌握工具与材料功能与使用方法、酥油花工艺制作步骤和关键知识点；（投标现场对样例“边玛墙”的各部件模型及整体模型进行原型系统演示）</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（2）学生为酥油花的骨架制作奠定图稿，设计稿的优劣直接反映学生的构图能力、对素材的认知能力和动手能力，让学生了解草束、麻绳、小木棍等不同骨架材料的应用场景，塑造酥油花的基本模型；</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（3）设置多个知识点的考核，用来检验学生前期对酥油花塑造胚胎工艺的掌握程度，涉及到的知识点至少包括酥油花油泥原料、油泥颜色、酥油花的融点和基本形态的塑造；</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（4）检验学生前期对酥油花涂塑工艺的掌握程度，涉及到的知识点至少包括涂塑原料、涂塑工艺、图案细致塑造；</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（5）将塑造好的酥油花成品和系统提供的道具一起组装成布局完整的立体画面；</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9、效果互评学习模块至少包含以下内容：</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（1）让学生公平公正地参与互相评价酥油花作品与设计稿，同时加入权重30%的专家评分，形成最终作品成绩排行榜；</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（2）系统自动生成该时间段的实验报告，学生可随时查看自身作品的报告，通过报告检查反省自身的学习效果，并对本次实验进行总结；</w:t>
            </w:r>
          </w:p>
          <w:p>
            <w:pPr>
              <w:widowControl/>
              <w:jc w:val="left"/>
              <w:rPr>
                <w:rFonts w:eastAsia="宋体"/>
                <w:sz w:val="24"/>
                <w:szCs w:val="24"/>
                <w:highlight w:val="none"/>
              </w:rPr>
            </w:pPr>
            <w:r>
              <w:rPr>
                <w:rFonts w:hint="eastAsia" w:ascii="宋体" w:hAnsi="宋体" w:eastAsia="宋体" w:cs="宋体"/>
                <w:kern w:val="0"/>
                <w:sz w:val="24"/>
                <w:szCs w:val="24"/>
                <w:highlight w:val="none"/>
              </w:rPr>
              <w:t>▲10、整个虚拟仿真实验教学系统场景不低于6个，模型不少于30个，动画不少于3个，程序至少包含流程框架搭建、软件功能开发、交互功能编辑、测试与发布及源代码整理，UI界面至少包含脚本分析及风格确定、页面交互制作、网页端制作、程序端对接，应包含视频简介（3分钟）制作、引导视频（7分钟）制作；（投标现场对教学系统场景、模型、动画进行原型系统展示）</w:t>
            </w:r>
          </w:p>
          <w:p>
            <w:pPr>
              <w:pStyle w:val="57"/>
              <w:adjustRightInd w:val="0"/>
              <w:snapToGrid w:val="0"/>
              <w:spacing w:line="288" w:lineRule="auto"/>
              <w:rPr>
                <w:rFonts w:ascii="宋体" w:hAnsi="宋体" w:cs="宋体"/>
                <w:b/>
                <w:bCs/>
                <w:kern w:val="0"/>
                <w:sz w:val="24"/>
                <w:highlight w:val="none"/>
              </w:rPr>
            </w:pPr>
            <w:r>
              <w:rPr>
                <w:rFonts w:hint="eastAsia" w:ascii="宋体" w:hAnsi="宋体" w:cs="宋体"/>
                <w:b/>
                <w:bCs/>
                <w:kern w:val="0"/>
                <w:sz w:val="24"/>
                <w:highlight w:val="none"/>
              </w:rPr>
              <w:t>二、开发技术要求</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、三维建模：</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⑴ 建模、场景制作：单模型要求面数控制在10-100万面左右，场景模型面数控制在500万面左右保存成保质量模型，包含骨架以及蒙皮；</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⑵ 保证每一个模型都拥有色彩，法线，高光，反射贴图；</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⑶ 拥有自主编写的材质编辑器 对场景进行材质以及贴图的处理；</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⑷ 场景模型建模真实还原需求场景，形成比例与真实场景模型1：1；建模工具选择3DSMax以及MAYA，能够输出FBX、obj、3DS等常见模型格式，可进行模型的二次使用；模型的贴图格式类型基本以*.png、*.jpg、*.dds为主；贴图类型以2的次方为基准；</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⑸ 支持多种多媒体格式导入，可以完美转换为*.ogv、或者*.ogg类型视频文件，并且能够适应主流视频以及音频格式；</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⑹ 支持场景UI，UI设计满足场景风格，支持外部导入UI制作以及效果，同时支持系统自带UI，满足场景UI的需求；</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⑺ 支持场景烘焙，掌握三光源设置法，提供泛光源、补光以及背光的打光方式；</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⑻ 可对场景模型进行实时顶点优化和动态加载LOD设置调整，根据视觉效果调整优化比例，减少数据量，提高运行效率，帧速率15帧以上。</w:t>
            </w:r>
          </w:p>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2、软件系统符合教育部国家虚拟仿真实验教学项目技术接口规范：</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⑴ 需具备用户身份识别规范。</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⑵ 需具备实验结果数据回传接口。</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⑶ 需具备实验操作状态回传接口。</w:t>
            </w:r>
          </w:p>
          <w:p>
            <w:pPr>
              <w:pStyle w:val="57"/>
              <w:adjustRightInd w:val="0"/>
              <w:snapToGrid w:val="0"/>
              <w:spacing w:line="288" w:lineRule="auto"/>
              <w:rPr>
                <w:rFonts w:ascii="宋体" w:hAnsi="宋体" w:cs="宋体"/>
                <w:kern w:val="0"/>
                <w:sz w:val="24"/>
                <w:highlight w:val="none"/>
              </w:rPr>
            </w:pPr>
            <w:r>
              <w:rPr>
                <w:rFonts w:hint="eastAsia" w:ascii="宋体" w:hAnsi="宋体" w:cs="宋体"/>
                <w:b/>
                <w:bCs/>
                <w:kern w:val="0"/>
                <w:sz w:val="24"/>
                <w:highlight w:val="none"/>
              </w:rPr>
              <w:t>三、系统技术要求</w:t>
            </w:r>
          </w:p>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、软件支持网页端访问。</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、为了便于后续软件资源扩充，系统需要提供软件支持的配套管理平台，至少满足以下要求：</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⑴ 为了提高平台的易用性，需采用 C/S 与 B/S 架构相结合的设计方式，支持web端、移动端、PC端、VR端等多端访问；（提供现场软件结合头盔功能演示）</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⑵ 为了满足多专业的教学需求，公有云服务模块内容需涵盖但不仅限于机械、电子、安全教育、能源、医学、交通、土木建筑、自然科学、展览展示、实训、旅游、科普等类别的VR教学资源。每个教学资源提供包括名称、内容详情介绍、适用硬件、视频和图片介绍、评分、内容分类、行业分类等；（提供现场软件功能演示）</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⑶ 支持在PC端和VR端两种模式间通过切换按键一键切换；</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⑷ 支持在VR模式下，通过头盔浏览案例资源详情，下载、启动、卸载案例；（提供现场软件结合头盔功能演示）</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⑸ 为了方便筛选目标内容，云端虚拟教学资源需有明确的分类，支持通过行业应用、硬件设备、活动范围、参与人数等条件进行快速筛选；</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⑹ 为了提高资源下载的稳定性，需具备应急处理功能：在网络中断的情况下，恢复网络后支持断点续传；</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⑺ 为了便于精品资源的共享，需提供开发者上传版块，支持开发者上传资源、后台审核、内容发布分享；（提供功能截图并加盖公章）</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⑻ 为了方便了解最新内容，平台需支持行业的偏好设置，根据用户所关心的行业，推送相关的内容；</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(9) 为了满足我方多硬件的使用需求，平台客户端需具有较强的硬件自适应功能，支持多种VR硬件设备适配如：Windows MR、HTC VIVE、3DLED大屏、多通道显示交互系统等；</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、产品的软件技术参数符合教育部国家虚拟仿真实验教学项目技术接口规范（2018版），能与教育部实验空间（ilab-x.com）进行数据对接联通。（需要提供演示）</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、系统软件须配置有后台编辑器，方便教员随时对软件系统进行修改，后台编辑器至少满足以下要求：</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（1）软件需支持多平台运行，编辑器支持Windows</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MacOS、linux</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中标麒麟</w:t>
            </w:r>
            <w:r>
              <w:rPr>
                <w:rFonts w:hint="eastAsia" w:ascii="宋体" w:hAnsi="宋体" w:eastAsia="宋体" w:cs="宋体"/>
                <w:kern w:val="0"/>
                <w:sz w:val="24"/>
                <w:szCs w:val="24"/>
                <w:highlight w:val="none"/>
              </w:rPr>
              <w:t>操作系统，（</w:t>
            </w:r>
            <w:r>
              <w:rPr>
                <w:rFonts w:hint="eastAsia" w:ascii="宋体" w:hAnsi="宋体" w:eastAsia="宋体" w:cs="宋体"/>
                <w:kern w:val="0"/>
                <w:sz w:val="24"/>
                <w:szCs w:val="24"/>
                <w:highlight w:val="none"/>
              </w:rPr>
              <w:t>麒麟操作系统</w:t>
            </w:r>
            <w:r>
              <w:rPr>
                <w:rFonts w:hint="eastAsia" w:ascii="宋体" w:hAnsi="宋体" w:eastAsia="宋体" w:cs="宋体"/>
                <w:kern w:val="0"/>
                <w:sz w:val="24"/>
                <w:szCs w:val="24"/>
                <w:highlight w:val="none"/>
              </w:rPr>
              <w:t>需通过银河麒麟操作系统产品兼容性互认证,通过复印件并加盖公章）。</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（2）为支持采购人便于携带内容进行展示，软件需支持发布可执行文件，并能够发送给无软件的用户进行可视化展示，可发布的平台包括：PC端（Windows Desktop、MacOS、Linux）、网页端（HTML5）、移动端（Android、IOS）和基于SteamVR的虚拟现实头盔端。</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（3）为了采购人可以直观地在VR环境中进行内容搭建，软件需支持在VR场景中对模型进行导入及实时编辑；（需在评审现场提供视频演示）</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（4）支持制作物体的关键帧动画、支持相机路径动画、支持修改模型材质属性动画。</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（5）动画预览：支持对编辑中的场景动画进行实时预览，允许用户及时做出修改。</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（6）软件支持骨骼动画模型的直接导入，并在场景中自由控制播放、暂停、速度调整等属性，支持路径动画模型导入，且提供动画编辑功能，能够对路径动画进行二次编辑（要求评审现场提供视频证明）。</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（7）软件支持24小时光照模拟，以满足用户对场景逼真效果的高要求。</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8）为模拟课堂效果，方便师生互动，并解决目前无Office、WPS等办公软件无法浏览PPT的难题，软件需支持直接导入PPT文件（*.pptx），并支持通过三维菜单与场景交互；（要求提供软件该项功能截图并加盖原厂商公章)。</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（9）交互类型：为满足采购人日常的教学需求，交互编辑模块需支持场景物体的显示隐藏、材质修改，支持触发音频、视频、动画文件的播放；支持交互逻辑的循环触发；</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（10）为方便开发人员进行更高级的开发，软件需支持Python脚本二次编辑，方便制作更丰富的交互；（需在评审现场提供视频演示）</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（11）为检验我方教学成果，软件需提供可编辑的考题系统。支持批量导入</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题库内容，题目类型需支持选择题和判断题。支持设置考题分值、权重、考试时长等关键参数，考试结束自动计算得分。</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（12）为便于采购人在PC和VR设备之间轻松转换，即时查看交互效果，且能兼顾多种主流硬件，软件需支持一键VR，能在HTC VIVE、Oculus、Windows MR等主流虚拟现实头盔中快速预览场景和交互逻辑；（需在评审现场提供视频演示）</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（13）数据同步：软件需支持场景节点、音视频、动画等文件的多人同步展示，虚拟拆装等操作的多人同步展示。以满足多用户共享同一虚拟场景、分岗实习的教学需求，营造课堂效果；</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14）零编程交互编辑器-拖拽获取节点和属性：软件需支持从主界面的场景树上将节点直接拖入交互编辑器窗口，自动生成获取节点的逻辑单元模块；在交互编辑中进行逻辑连线时，按住快捷键松开鼠标会弹出方法搜索窗口并自动匹配可供连线的方法，也支持通过名称搜索快速定位方法。（需提供软件测试报告证明）</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15）为便于用户在软件中进行场景搭建，软件支持构造实体几何功能（CSG形状），在菜单中提供CSG立方体、CSG圆柱体、CSG多边形、CSG球体、CSG环形5个几何体，支持对菜单中提供的任意两个或两个以上的构造实体几何形状进行网格的布尔运算，通过在属性面板上选择合并、相交、抠除的操作模式来形成新的几何体。不同类型的构造实体几何图形可通过高度、宽度、深度、内外半径、边边数等属性的调节来改变形状，CSG多边形支持在三维空间中直接绘制连续的顶点后，选择深度模式或旋转模式快速生成自定义的多边形网格，并且可以对绘制完的CSG多边形重新调整顶点位置。（需提供软件测试报告证明）</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（16）为增加采购人制作场景交互的丰富性，软件要提供能够对接外部数据的接口模板，并支持对接采购人已有数据（例如学生用户名密码、随机数据等），并可以进行二次编辑；（需在评审现场提供视频演示）</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17）为方便采购人在学习过程中，对VR场景内的模型操作更加真实自然，软件需支持按照顺序对模型的零部件进行拆和装，并且能够支持采购人编辑人员对拆装顺序进行二次编辑。（需在评审现场提供视频演示）</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（18）UI系统包含多达55种预设的UI控件类型，包含提示对话框、确认对话框、文件对话框、弹出菜单、弹出面板等8种弹窗类型； 菜单按钮、链接按钮、纹理按钮、工具按钮、选色器按钮等9种按钮类型；中心容器、边距容器、滚动容器、水平/垂直布局容器、水平/垂直拆分容器、标签页容器等14种布局容器类型；水平/垂直滚动条、水平/垂直滑块、进度条、微调框等7种范围工具类型；还有元素列表、树形结构、九宫格矩形、文本编辑框、视频播放器等多种便捷的UI控件类型以满足用户在搭建用户界面时的专业性需求。（要求提供第三方测试报告证明）；</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19）为便于用户在软件中进行场景搭建，软件支持构造实体几何功能（CSG形状），在菜单中提供CSG立方体、CSG圆柱体、CSG多边形、CSG球体、CSG环形5个几何体，支持对菜单中提供的任意两个或两个以上的构造实体几何形状进行网格的布尔运算，通过在属性面板上选择合并、相交、抠除的操作模式来形成新的几何体。不同类型的构造实体几何图形可通过高度、宽度、深度、内外半径、边边数等属性的调节来改变形状，CSG多边形支持在三维空间中直接绘制连续的顶点后，选择深度模式或旋转模式快速生成自定义的多边形网格，并且可以对绘制完的CSG多边形重新调整顶点位置（要求提供第三方测试报告证明）；</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20）零编程交互编辑器-拖拽获取节点和属性：支持从主界面的场景树上将节点直接拖入交互编辑器窗口，自动生成获取节点的逻辑单元模块；在交互编辑中进行逻辑连线时，按住快捷键松开鼠标会弹出方法搜索窗口并自动匹配可供连线的方法，也支持通过名称搜索快速定位方法。（要求提供第三方测试报告证明）；</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（21）软件要求为国内自主研发软件，需提供国家版权局出具的相关计算机软件著作权</w:t>
            </w:r>
          </w:p>
          <w:p>
            <w:pPr>
              <w:widowControl/>
              <w:jc w:val="left"/>
              <w:rPr>
                <w:rFonts w:asciiTheme="minorEastAsia" w:hAnsiTheme="minorEastAsia" w:cstheme="minorEastAsia"/>
                <w:sz w:val="24"/>
                <w:szCs w:val="24"/>
                <w:highlight w:val="none"/>
              </w:rPr>
            </w:pPr>
            <w:r>
              <w:rPr>
                <w:rFonts w:hint="eastAsia" w:ascii="宋体" w:hAnsi="宋体" w:eastAsia="宋体" w:cs="宋体"/>
                <w:kern w:val="0"/>
                <w:sz w:val="24"/>
                <w:szCs w:val="24"/>
                <w:highlight w:val="none"/>
              </w:rPr>
              <w:t>（22）该软件具有正规出版社出版的教材，教程证明材料需提供ISBN（书号）以及在中央宣传部出版物数据中心（https://pdc.capub.cn/）通过书号查询到教材的截图：教材书名，需体现开发引擎型号。</w:t>
            </w:r>
          </w:p>
        </w:tc>
      </w:tr>
    </w:tbl>
    <w:p>
      <w:pPr>
        <w:widowControl/>
        <w:shd w:val="clear" w:color="auto" w:fill="FFFFFF"/>
        <w:spacing w:line="480" w:lineRule="auto"/>
        <w:outlineLvl w:val="4"/>
        <w:rPr>
          <w:sz w:val="24"/>
          <w:highlight w:val="none"/>
        </w:rPr>
      </w:pPr>
    </w:p>
    <w:p>
      <w:pPr>
        <w:widowControl/>
        <w:shd w:val="clear" w:color="auto" w:fill="FFFFFF"/>
        <w:spacing w:line="480" w:lineRule="auto"/>
        <w:ind w:firstLine="360" w:firstLineChars="150"/>
        <w:rPr>
          <w:sz w:val="24"/>
          <w:highlight w:val="none"/>
        </w:rPr>
      </w:pPr>
      <w:r>
        <w:rPr>
          <w:rFonts w:hint="eastAsia"/>
          <w:sz w:val="24"/>
          <w:highlight w:val="none"/>
        </w:rPr>
        <w:t>品目信息二的</w:t>
      </w:r>
      <w:r>
        <w:rPr>
          <w:sz w:val="24"/>
          <w:highlight w:val="none"/>
        </w:rPr>
        <w:t>标的参数</w:t>
      </w:r>
      <w:r>
        <w:rPr>
          <w:rFonts w:hint="eastAsia"/>
          <w:sz w:val="24"/>
          <w:highlight w:val="none"/>
        </w:rPr>
        <w:t>：</w:t>
      </w:r>
      <w:r>
        <w:rPr>
          <w:sz w:val="24"/>
          <w:highlight w:val="none"/>
        </w:rPr>
        <w:t>（</w:t>
      </w:r>
      <w:r>
        <w:rPr>
          <w:rFonts w:hint="eastAsia"/>
          <w:sz w:val="24"/>
          <w:highlight w:val="none"/>
        </w:rPr>
        <w:t>如有</w:t>
      </w:r>
      <w:r>
        <w:rPr>
          <w:sz w:val="24"/>
          <w:highlight w:val="none"/>
        </w:rPr>
        <w:t>，请复制</w:t>
      </w:r>
      <w:r>
        <w:rPr>
          <w:rFonts w:hint="eastAsia"/>
          <w:sz w:val="24"/>
          <w:highlight w:val="none"/>
        </w:rPr>
        <w:t>参数</w:t>
      </w:r>
      <w:r>
        <w:rPr>
          <w:sz w:val="24"/>
          <w:highlight w:val="none"/>
        </w:rPr>
        <w:t>表</w:t>
      </w:r>
      <w:r>
        <w:rPr>
          <w:rFonts w:hint="eastAsia"/>
          <w:sz w:val="24"/>
          <w:highlight w:val="none"/>
        </w:rPr>
        <w:t>填写</w:t>
      </w:r>
      <w:r>
        <w:rPr>
          <w:sz w:val="24"/>
          <w:highlight w:val="none"/>
        </w:rPr>
        <w:t>）</w:t>
      </w:r>
    </w:p>
    <w:p>
      <w:pPr>
        <w:widowControl/>
        <w:shd w:val="clear" w:color="auto" w:fill="FFFFFF"/>
        <w:spacing w:line="480" w:lineRule="auto"/>
        <w:ind w:firstLine="360" w:firstLineChars="150"/>
        <w:rPr>
          <w:sz w:val="24"/>
          <w:highlight w:val="none"/>
        </w:rPr>
      </w:pPr>
      <w:r>
        <w:rPr>
          <w:rFonts w:hint="eastAsia"/>
          <w:sz w:val="24"/>
          <w:highlight w:val="none"/>
        </w:rPr>
        <w:t>品目信息三的</w:t>
      </w:r>
      <w:r>
        <w:rPr>
          <w:sz w:val="24"/>
          <w:highlight w:val="none"/>
        </w:rPr>
        <w:t>标的参数</w:t>
      </w:r>
      <w:r>
        <w:rPr>
          <w:rFonts w:hint="eastAsia"/>
          <w:sz w:val="24"/>
          <w:highlight w:val="none"/>
        </w:rPr>
        <w:t>：</w:t>
      </w:r>
      <w:r>
        <w:rPr>
          <w:sz w:val="24"/>
          <w:highlight w:val="none"/>
        </w:rPr>
        <w:t>（</w:t>
      </w:r>
      <w:r>
        <w:rPr>
          <w:rFonts w:hint="eastAsia"/>
          <w:sz w:val="24"/>
          <w:highlight w:val="none"/>
        </w:rPr>
        <w:t>如有</w:t>
      </w:r>
      <w:r>
        <w:rPr>
          <w:sz w:val="24"/>
          <w:highlight w:val="none"/>
        </w:rPr>
        <w:t>，请复制</w:t>
      </w:r>
      <w:r>
        <w:rPr>
          <w:rFonts w:hint="eastAsia"/>
          <w:sz w:val="24"/>
          <w:highlight w:val="none"/>
        </w:rPr>
        <w:t>参数</w:t>
      </w:r>
      <w:r>
        <w:rPr>
          <w:sz w:val="24"/>
          <w:highlight w:val="none"/>
        </w:rPr>
        <w:t>表</w:t>
      </w:r>
      <w:r>
        <w:rPr>
          <w:rFonts w:hint="eastAsia"/>
          <w:sz w:val="24"/>
          <w:highlight w:val="none"/>
        </w:rPr>
        <w:t>填写</w:t>
      </w:r>
      <w:r>
        <w:rPr>
          <w:sz w:val="24"/>
          <w:highlight w:val="none"/>
        </w:rPr>
        <w:t>）</w:t>
      </w:r>
    </w:p>
    <w:p>
      <w:pPr>
        <w:widowControl/>
        <w:shd w:val="clear" w:color="auto" w:fill="FFFFFF"/>
        <w:spacing w:line="480" w:lineRule="auto"/>
        <w:ind w:firstLine="360" w:firstLineChars="150"/>
        <w:rPr>
          <w:rFonts w:ascii="宋体" w:hAnsi="宋体" w:eastAsia="宋体" w:cs="宋体"/>
          <w:kern w:val="0"/>
          <w:sz w:val="24"/>
          <w:szCs w:val="24"/>
          <w:highlight w:val="none"/>
        </w:rPr>
      </w:pPr>
      <w:r>
        <w:rPr>
          <w:rFonts w:hint="eastAsia"/>
          <w:sz w:val="24"/>
          <w:highlight w:val="none"/>
        </w:rPr>
        <w:t>……</w:t>
      </w:r>
    </w:p>
    <w:p>
      <w:pPr>
        <w:widowControl/>
        <w:shd w:val="clear" w:color="auto" w:fill="FFFFFF"/>
        <w:spacing w:line="480" w:lineRule="auto"/>
        <w:ind w:firstLine="360" w:firstLineChars="150"/>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评审</w:t>
      </w:r>
      <w:r>
        <w:rPr>
          <w:rFonts w:ascii="宋体" w:hAnsi="宋体" w:eastAsia="宋体" w:cs="宋体"/>
          <w:kern w:val="0"/>
          <w:sz w:val="24"/>
          <w:szCs w:val="24"/>
          <w:highlight w:val="none"/>
        </w:rPr>
        <w:t>条款</w:t>
      </w:r>
      <w:r>
        <w:rPr>
          <w:rFonts w:hint="eastAsia" w:ascii="宋体" w:hAnsi="宋体" w:eastAsia="宋体" w:cs="宋体"/>
          <w:kern w:val="0"/>
          <w:sz w:val="24"/>
          <w:szCs w:val="24"/>
          <w:highlight w:val="none"/>
        </w:rPr>
        <w:t>：</w:t>
      </w:r>
    </w:p>
    <w:p>
      <w:pPr>
        <w:widowControl/>
        <w:shd w:val="clear" w:color="auto" w:fill="FFFFFF"/>
        <w:spacing w:line="480" w:lineRule="auto"/>
        <w:ind w:firstLine="360" w:firstLineChars="150"/>
        <w:rPr>
          <w:rFonts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 xml:space="preserve">综合评分法      </w:t>
      </w:r>
    </w:p>
    <w:tbl>
      <w:tblPr>
        <w:tblStyle w:val="13"/>
        <w:tblW w:w="10280"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008"/>
        <w:gridCol w:w="1047"/>
        <w:gridCol w:w="4961"/>
        <w:gridCol w:w="8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Align w:val="center"/>
          </w:tcPr>
          <w:p>
            <w:pPr>
              <w:widowControl/>
              <w:jc w:val="center"/>
              <w:rPr>
                <w:rFonts w:asciiTheme="minorEastAsia" w:hAnsiTheme="minorEastAsia" w:cstheme="minorEastAsia"/>
                <w:b/>
                <w:kern w:val="0"/>
                <w:sz w:val="24"/>
                <w:szCs w:val="24"/>
                <w:highlight w:val="none"/>
              </w:rPr>
            </w:pPr>
            <w:r>
              <w:rPr>
                <w:rFonts w:hint="eastAsia" w:asciiTheme="minorEastAsia" w:hAnsiTheme="minorEastAsia" w:cstheme="minorEastAsia"/>
                <w:b/>
                <w:kern w:val="0"/>
                <w:sz w:val="24"/>
                <w:szCs w:val="24"/>
                <w:highlight w:val="none"/>
              </w:rPr>
              <w:t>评审项编号</w:t>
            </w:r>
          </w:p>
        </w:tc>
        <w:tc>
          <w:tcPr>
            <w:tcW w:w="1008" w:type="dxa"/>
            <w:vAlign w:val="center"/>
          </w:tcPr>
          <w:p>
            <w:pPr>
              <w:widowControl/>
              <w:jc w:val="center"/>
              <w:rPr>
                <w:rFonts w:asciiTheme="minorEastAsia" w:hAnsiTheme="minorEastAsia" w:cstheme="minorEastAsia"/>
                <w:b/>
                <w:kern w:val="0"/>
                <w:sz w:val="24"/>
                <w:szCs w:val="24"/>
                <w:highlight w:val="none"/>
              </w:rPr>
            </w:pPr>
            <w:r>
              <w:rPr>
                <w:rFonts w:hint="eastAsia" w:asciiTheme="minorEastAsia" w:hAnsiTheme="minorEastAsia" w:cstheme="minorEastAsia"/>
                <w:b/>
                <w:kern w:val="0"/>
                <w:sz w:val="24"/>
                <w:szCs w:val="24"/>
                <w:highlight w:val="none"/>
              </w:rPr>
              <w:t>一级评审项</w:t>
            </w:r>
          </w:p>
        </w:tc>
        <w:tc>
          <w:tcPr>
            <w:tcW w:w="1047" w:type="dxa"/>
            <w:vAlign w:val="center"/>
          </w:tcPr>
          <w:p>
            <w:pPr>
              <w:widowControl/>
              <w:jc w:val="center"/>
              <w:rPr>
                <w:rFonts w:asciiTheme="minorEastAsia" w:hAnsiTheme="minorEastAsia" w:cstheme="minorEastAsia"/>
                <w:b/>
                <w:kern w:val="0"/>
                <w:sz w:val="24"/>
                <w:szCs w:val="24"/>
                <w:highlight w:val="none"/>
              </w:rPr>
            </w:pPr>
            <w:r>
              <w:rPr>
                <w:rFonts w:hint="eastAsia" w:asciiTheme="minorEastAsia" w:hAnsiTheme="minorEastAsia" w:cstheme="minorEastAsia"/>
                <w:b/>
                <w:kern w:val="0"/>
                <w:sz w:val="24"/>
                <w:szCs w:val="24"/>
                <w:highlight w:val="none"/>
              </w:rPr>
              <w:t>二级评审项</w:t>
            </w:r>
          </w:p>
        </w:tc>
        <w:tc>
          <w:tcPr>
            <w:tcW w:w="4961" w:type="dxa"/>
            <w:vAlign w:val="center"/>
          </w:tcPr>
          <w:p>
            <w:pPr>
              <w:widowControl/>
              <w:jc w:val="center"/>
              <w:rPr>
                <w:rFonts w:asciiTheme="minorEastAsia" w:hAnsiTheme="minorEastAsia" w:cstheme="minorEastAsia"/>
                <w:b/>
                <w:kern w:val="0"/>
                <w:sz w:val="24"/>
                <w:szCs w:val="24"/>
                <w:highlight w:val="none"/>
              </w:rPr>
            </w:pPr>
            <w:r>
              <w:rPr>
                <w:rFonts w:hint="eastAsia" w:asciiTheme="minorEastAsia" w:hAnsiTheme="minorEastAsia" w:cstheme="minorEastAsia"/>
                <w:b/>
                <w:kern w:val="0"/>
                <w:sz w:val="24"/>
                <w:szCs w:val="24"/>
                <w:highlight w:val="none"/>
              </w:rPr>
              <w:t>详细要求</w:t>
            </w:r>
          </w:p>
        </w:tc>
        <w:tc>
          <w:tcPr>
            <w:tcW w:w="851" w:type="dxa"/>
            <w:vAlign w:val="center"/>
          </w:tcPr>
          <w:p>
            <w:pPr>
              <w:widowControl/>
              <w:jc w:val="center"/>
              <w:rPr>
                <w:rFonts w:asciiTheme="minorEastAsia" w:hAnsiTheme="minorEastAsia" w:cstheme="minorEastAsia"/>
                <w:b/>
                <w:kern w:val="0"/>
                <w:sz w:val="24"/>
                <w:szCs w:val="24"/>
                <w:highlight w:val="none"/>
              </w:rPr>
            </w:pPr>
            <w:r>
              <w:rPr>
                <w:rFonts w:hint="eastAsia" w:asciiTheme="minorEastAsia" w:hAnsiTheme="minorEastAsia" w:cstheme="minorEastAsia"/>
                <w:b/>
                <w:kern w:val="0"/>
                <w:sz w:val="24"/>
                <w:szCs w:val="24"/>
                <w:highlight w:val="none"/>
              </w:rPr>
              <w:t>分值</w:t>
            </w:r>
          </w:p>
        </w:tc>
        <w:tc>
          <w:tcPr>
            <w:tcW w:w="1417" w:type="dxa"/>
            <w:vAlign w:val="center"/>
          </w:tcPr>
          <w:p>
            <w:pPr>
              <w:widowControl/>
              <w:jc w:val="center"/>
              <w:rPr>
                <w:rFonts w:asciiTheme="minorEastAsia" w:hAnsiTheme="minorEastAsia" w:cstheme="minorEastAsia"/>
                <w:b/>
                <w:kern w:val="0"/>
                <w:sz w:val="24"/>
                <w:szCs w:val="24"/>
                <w:highlight w:val="none"/>
              </w:rPr>
            </w:pPr>
            <w:r>
              <w:rPr>
                <w:rFonts w:hint="eastAsia" w:asciiTheme="minorEastAsia" w:hAnsiTheme="minorEastAsia" w:cstheme="minorEastAsia"/>
                <w:b/>
                <w:kern w:val="0"/>
                <w:sz w:val="24"/>
                <w:szCs w:val="24"/>
                <w:highlight w:val="none"/>
              </w:rPr>
              <w:t>客观评审项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Borders>
              <w:bottom w:val="single" w:color="auto" w:sz="4" w:space="0"/>
            </w:tcBorders>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008" w:type="dxa"/>
            <w:tcBorders>
              <w:bottom w:val="single" w:color="auto" w:sz="4" w:space="0"/>
            </w:tcBorders>
            <w:vAlign w:val="center"/>
          </w:tcPr>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报价部分</w:t>
            </w:r>
          </w:p>
        </w:tc>
        <w:tc>
          <w:tcPr>
            <w:tcW w:w="1047" w:type="dxa"/>
            <w:tcBorders>
              <w:bottom w:val="single" w:color="auto" w:sz="4" w:space="0"/>
            </w:tcBorders>
            <w:vAlign w:val="center"/>
          </w:tcPr>
          <w:p>
            <w:pPr>
              <w:rPr>
                <w:rFonts w:asciiTheme="minorEastAsia" w:hAnsiTheme="minorEastAsia" w:cstheme="minorEastAsia"/>
                <w:sz w:val="24"/>
                <w:szCs w:val="24"/>
                <w:highlight w:val="none"/>
              </w:rPr>
            </w:pPr>
          </w:p>
        </w:tc>
        <w:tc>
          <w:tcPr>
            <w:tcW w:w="4961" w:type="dxa"/>
            <w:tcBorders>
              <w:bottom w:val="single" w:color="auto" w:sz="4" w:space="0"/>
            </w:tcBorders>
          </w:tcPr>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1、有效投标中投标价格最低的投标报价为评标基准价，其价格分为满分。</w:t>
            </w:r>
          </w:p>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2、其他供应商的价格分统一按照下列公式计算：投标报价得分=(评标基准价／投标报价)×40；</w:t>
            </w:r>
          </w:p>
        </w:tc>
        <w:tc>
          <w:tcPr>
            <w:tcW w:w="851" w:type="dxa"/>
            <w:tcBorders>
              <w:bottom w:val="single" w:color="auto" w:sz="4" w:space="0"/>
            </w:tcBorders>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40分</w:t>
            </w:r>
          </w:p>
        </w:tc>
        <w:tc>
          <w:tcPr>
            <w:tcW w:w="1417" w:type="dxa"/>
            <w:tcBorders>
              <w:bottom w:val="single" w:color="auto" w:sz="4" w:space="0"/>
            </w:tcBorders>
            <w:vAlign w:val="center"/>
          </w:tcPr>
          <w:p>
            <w:pPr>
              <w:widowControl/>
              <w:jc w:val="center"/>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shd w:val="clear" w:color="auto" w:fill="FFFFFF" w:themeFill="background1"/>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008" w:type="dxa"/>
            <w:shd w:val="clear" w:color="auto" w:fill="FFFFFF" w:themeFill="background1"/>
            <w:vAlign w:val="center"/>
          </w:tcPr>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技术指标和配置</w:t>
            </w:r>
          </w:p>
        </w:tc>
        <w:tc>
          <w:tcPr>
            <w:tcW w:w="1047" w:type="dxa"/>
            <w:shd w:val="clear" w:color="auto" w:fill="FFFFFF" w:themeFill="background1"/>
            <w:vAlign w:val="center"/>
          </w:tcPr>
          <w:p>
            <w:pPr>
              <w:rPr>
                <w:rFonts w:asciiTheme="minorEastAsia" w:hAnsiTheme="minorEastAsia" w:cstheme="minorEastAsia"/>
                <w:sz w:val="24"/>
                <w:szCs w:val="24"/>
                <w:highlight w:val="none"/>
              </w:rPr>
            </w:pPr>
          </w:p>
        </w:tc>
        <w:tc>
          <w:tcPr>
            <w:tcW w:w="4961" w:type="dxa"/>
            <w:shd w:val="clear" w:color="auto" w:fill="FFFFFF" w:themeFill="background1"/>
          </w:tcPr>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投标人实质性满足招标文件 “技术参数与性能指标”的得</w:t>
            </w: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5</w:t>
            </w:r>
            <w:r>
              <w:rPr>
                <w:rFonts w:hint="eastAsia" w:asciiTheme="minorEastAsia" w:hAnsiTheme="minorEastAsia" w:cstheme="minorEastAsia"/>
                <w:sz w:val="24"/>
                <w:szCs w:val="24"/>
                <w:highlight w:val="none"/>
              </w:rPr>
              <w:t>分</w:t>
            </w:r>
            <w:r>
              <w:rPr>
                <w:rFonts w:hint="eastAsia" w:asciiTheme="minorEastAsia" w:hAnsiTheme="minorEastAsia" w:cstheme="minorEastAsia"/>
                <w:sz w:val="24"/>
                <w:szCs w:val="24"/>
                <w:highlight w:val="none"/>
              </w:rPr>
              <w:t>；</w:t>
            </w:r>
          </w:p>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所有技术参数共</w:t>
            </w:r>
            <w:r>
              <w:rPr>
                <w:rFonts w:hint="eastAsia" w:asciiTheme="minorEastAsia" w:hAnsi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6</w:t>
            </w:r>
            <w:r>
              <w:rPr>
                <w:rFonts w:hint="eastAsia" w:asciiTheme="minorEastAsia" w:hAnsiTheme="minorEastAsia" w:cstheme="minorEastAsia"/>
                <w:sz w:val="24"/>
                <w:szCs w:val="24"/>
                <w:highlight w:val="none"/>
              </w:rPr>
              <w:t>个</w:t>
            </w:r>
            <w:r>
              <w:rPr>
                <w:rFonts w:hint="eastAsia" w:asciiTheme="minorEastAsia" w:hAnsiTheme="minorEastAsia" w:cstheme="minorEastAsia"/>
                <w:sz w:val="24"/>
                <w:szCs w:val="24"/>
                <w:highlight w:val="none"/>
              </w:rPr>
              <w:t>，其中带▲号指标共6个，指标与招标文件有负偏离每一项扣5分，非▲号共</w:t>
            </w:r>
            <w:r>
              <w:rPr>
                <w:rFonts w:hint="eastAsia" w:asciiTheme="minorEastAsia" w:hAnsiTheme="minorEastAsia" w:cstheme="minorEastAsia"/>
                <w:sz w:val="24"/>
                <w:szCs w:val="24"/>
                <w:highlight w:val="none"/>
                <w:lang w:val="en-US" w:eastAsia="zh-CN"/>
              </w:rPr>
              <w:t>10</w:t>
            </w:r>
            <w:r>
              <w:rPr>
                <w:rFonts w:hint="eastAsia" w:asciiTheme="minorEastAsia" w:hAnsiTheme="minorEastAsia" w:cstheme="minorEastAsia"/>
                <w:sz w:val="24"/>
                <w:szCs w:val="24"/>
                <w:highlight w:val="none"/>
              </w:rPr>
              <w:t>个</w:t>
            </w:r>
            <w:r>
              <w:rPr>
                <w:rFonts w:hint="eastAsia" w:asciiTheme="minorEastAsia" w:hAnsiTheme="minorEastAsia" w:cstheme="minorEastAsia"/>
                <w:sz w:val="24"/>
                <w:szCs w:val="24"/>
                <w:highlight w:val="none"/>
              </w:rPr>
              <w:t>，技术指标共每有一项与招标文件有负偏离扣</w:t>
            </w:r>
            <w:r>
              <w:rPr>
                <w:rFonts w:hint="eastAsia" w:asciiTheme="minorEastAsia" w:hAnsiTheme="minorEastAsia" w:cstheme="minorEastAsia"/>
                <w:sz w:val="24"/>
                <w:szCs w:val="24"/>
                <w:highlight w:val="none"/>
                <w:lang w:val="en-US" w:eastAsia="zh-CN"/>
              </w:rPr>
              <w:t>1.5</w:t>
            </w:r>
            <w:r>
              <w:rPr>
                <w:rFonts w:hint="eastAsia" w:asciiTheme="minorEastAsia" w:hAnsiTheme="minorEastAsia" w:cstheme="minorEastAsia"/>
                <w:sz w:val="24"/>
                <w:szCs w:val="24"/>
                <w:highlight w:val="none"/>
              </w:rPr>
              <w:t>分</w:t>
            </w:r>
            <w:r>
              <w:rPr>
                <w:rFonts w:hint="eastAsia" w:asciiTheme="minorEastAsia" w:hAnsiTheme="minorEastAsia" w:cstheme="minorEastAsia"/>
                <w:sz w:val="24"/>
                <w:szCs w:val="24"/>
                <w:highlight w:val="none"/>
              </w:rPr>
              <w:t>，扣完为止。</w:t>
            </w:r>
          </w:p>
          <w:p>
            <w:pPr>
              <w:rPr>
                <w:rFonts w:asciiTheme="minorEastAsia" w:hAnsiTheme="minorEastAsia" w:cstheme="minorEastAsia"/>
                <w:sz w:val="24"/>
                <w:szCs w:val="24"/>
                <w:highlight w:val="none"/>
              </w:rPr>
            </w:pPr>
          </w:p>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注：①分项以“（1）、（2）、（3）……”标识的均计入大项中，任一分项不满足视为整条大项不满足。</w:t>
            </w:r>
          </w:p>
        </w:tc>
        <w:tc>
          <w:tcPr>
            <w:tcW w:w="851" w:type="dxa"/>
            <w:shd w:val="clear" w:color="auto" w:fill="FFFFFF" w:themeFill="background1"/>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5</w:t>
            </w:r>
            <w:r>
              <w:rPr>
                <w:rFonts w:hint="eastAsia" w:asciiTheme="minorEastAsia" w:hAnsiTheme="minorEastAsia" w:cstheme="minorEastAsia"/>
                <w:sz w:val="24"/>
                <w:szCs w:val="24"/>
                <w:highlight w:val="none"/>
              </w:rPr>
              <w:t>分</w:t>
            </w:r>
          </w:p>
        </w:tc>
        <w:tc>
          <w:tcPr>
            <w:tcW w:w="1417" w:type="dxa"/>
            <w:shd w:val="clear" w:color="auto" w:fill="FFFFFF" w:themeFill="background1"/>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996" w:type="dxa"/>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p>
        </w:tc>
        <w:tc>
          <w:tcPr>
            <w:tcW w:w="1008" w:type="dxa"/>
            <w:vAlign w:val="center"/>
          </w:tcPr>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投标人履约服务能力</w:t>
            </w:r>
          </w:p>
        </w:tc>
        <w:tc>
          <w:tcPr>
            <w:tcW w:w="1047" w:type="dxa"/>
            <w:vAlign w:val="center"/>
          </w:tcPr>
          <w:p>
            <w:pPr>
              <w:rPr>
                <w:rFonts w:asciiTheme="minorEastAsia" w:hAnsiTheme="minorEastAsia" w:cstheme="minorEastAsia"/>
                <w:sz w:val="24"/>
                <w:szCs w:val="24"/>
                <w:highlight w:val="none"/>
              </w:rPr>
            </w:pPr>
          </w:p>
        </w:tc>
        <w:tc>
          <w:tcPr>
            <w:tcW w:w="4961" w:type="dxa"/>
          </w:tcPr>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1、提供投标人近三年以来在国内同类产品的类似履约能力证明材料，有一个得1分，</w:t>
            </w:r>
            <w:r>
              <w:rPr>
                <w:rFonts w:hint="eastAsia" w:asciiTheme="minorEastAsia" w:hAnsiTheme="minorEastAsia" w:cstheme="minorEastAsia"/>
                <w:sz w:val="24"/>
                <w:szCs w:val="24"/>
                <w:highlight w:val="none"/>
              </w:rPr>
              <w:t>最多得</w:t>
            </w:r>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rPr>
              <w:t>分</w:t>
            </w:r>
            <w:r>
              <w:rPr>
                <w:rFonts w:hint="eastAsia" w:asciiTheme="minorEastAsia" w:hAnsiTheme="minorEastAsia" w:cstheme="minorEastAsia"/>
                <w:sz w:val="24"/>
                <w:szCs w:val="24"/>
                <w:highlight w:val="none"/>
              </w:rPr>
              <w:t>。</w:t>
            </w:r>
          </w:p>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注：合同及履约验收证明，合同内容包括与最终用户签订合同首页、签字盖章页、合同金额所在页证明材料复印件。</w:t>
            </w:r>
          </w:p>
        </w:tc>
        <w:tc>
          <w:tcPr>
            <w:tcW w:w="851" w:type="dxa"/>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kern w:val="0"/>
                <w:sz w:val="24"/>
                <w:szCs w:val="24"/>
                <w:highlight w:val="none"/>
                <w:u w:color="000000"/>
                <w:lang w:val="en-US" w:eastAsia="zh-CN"/>
              </w:rPr>
              <w:t>4</w:t>
            </w:r>
            <w:r>
              <w:rPr>
                <w:rFonts w:hint="eastAsia" w:asciiTheme="minorEastAsia" w:hAnsiTheme="minorEastAsia" w:cstheme="minorEastAsia"/>
                <w:kern w:val="0"/>
                <w:sz w:val="24"/>
                <w:szCs w:val="24"/>
                <w:highlight w:val="none"/>
                <w:u w:color="000000"/>
                <w:lang w:val="zh-TW" w:eastAsia="zh-TW"/>
              </w:rPr>
              <w:t>分</w:t>
            </w:r>
          </w:p>
        </w:tc>
        <w:tc>
          <w:tcPr>
            <w:tcW w:w="1417" w:type="dxa"/>
            <w:vAlign w:val="center"/>
          </w:tcPr>
          <w:p>
            <w:pPr>
              <w:widowControl/>
              <w:jc w:val="center"/>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Align w:val="center"/>
          </w:tcPr>
          <w:p>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008" w:type="dxa"/>
            <w:vAlign w:val="center"/>
          </w:tcPr>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售后服务</w:t>
            </w:r>
          </w:p>
        </w:tc>
        <w:tc>
          <w:tcPr>
            <w:tcW w:w="1047" w:type="dxa"/>
            <w:vAlign w:val="center"/>
          </w:tcPr>
          <w:p>
            <w:pPr>
              <w:rPr>
                <w:rFonts w:asciiTheme="minorEastAsia" w:hAnsiTheme="minorEastAsia" w:cstheme="minorEastAsia"/>
                <w:sz w:val="24"/>
                <w:szCs w:val="24"/>
                <w:highlight w:val="none"/>
              </w:rPr>
            </w:pPr>
          </w:p>
        </w:tc>
        <w:tc>
          <w:tcPr>
            <w:tcW w:w="4961" w:type="dxa"/>
          </w:tcPr>
          <w:p>
            <w:pP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1.本地化服务体系（1分）：</w:t>
            </w:r>
          </w:p>
          <w:p>
            <w:pP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投标人承诺可以提供本地化专职售后服务的得1分。（提供承诺函）</w:t>
            </w:r>
          </w:p>
          <w:p>
            <w:pP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服务承诺（</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分</w:t>
            </w:r>
            <w:r>
              <w:rPr>
                <w:rFonts w:hint="eastAsia" w:asciiTheme="minorEastAsia" w:hAnsiTheme="minorEastAsia" w:cstheme="minorEastAsia"/>
                <w:sz w:val="24"/>
                <w:szCs w:val="24"/>
                <w:highlight w:val="none"/>
              </w:rPr>
              <w:t>）：完全满足招标文件技术支持及服务要求的得2分，。不满足招标技术支持及服务要求的得0分。</w:t>
            </w:r>
          </w:p>
          <w:p>
            <w:pPr>
              <w:numPr>
                <w:ilvl w:val="0"/>
                <w:numId w:val="0"/>
              </w:numP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cstheme="minorEastAsia"/>
                <w:sz w:val="24"/>
                <w:szCs w:val="24"/>
                <w:highlight w:val="none"/>
              </w:rPr>
              <w:t>为保障项目实施，投标产品厂商提供的项目技术人员需具有高级交互设计师证书，每提供一份证书得1分，满分5分。（提供全国职业能力等级证书复印件并加盖厂商鲜章）</w:t>
            </w:r>
          </w:p>
        </w:tc>
        <w:tc>
          <w:tcPr>
            <w:tcW w:w="851" w:type="dxa"/>
            <w:vAlign w:val="center"/>
          </w:tcPr>
          <w:p>
            <w:pPr>
              <w:jc w:val="center"/>
              <w:rPr>
                <w:rFonts w:asciiTheme="minorEastAsia" w:hAnsiTheme="minorEastAsia" w:cstheme="minorEastAsia"/>
                <w:kern w:val="0"/>
                <w:sz w:val="24"/>
                <w:szCs w:val="24"/>
                <w:highlight w:val="none"/>
                <w:u w:color="000000"/>
              </w:rPr>
            </w:pPr>
            <w:r>
              <w:rPr>
                <w:rFonts w:hint="eastAsia" w:asciiTheme="minorEastAsia" w:hAnsiTheme="minorEastAsia" w:cstheme="minorEastAsia"/>
                <w:kern w:val="0"/>
                <w:sz w:val="24"/>
                <w:szCs w:val="24"/>
                <w:highlight w:val="none"/>
                <w:u w:color="000000"/>
                <w:lang w:val="en-US" w:eastAsia="zh-CN"/>
              </w:rPr>
              <w:t>8</w:t>
            </w:r>
            <w:r>
              <w:rPr>
                <w:rFonts w:hint="eastAsia" w:asciiTheme="minorEastAsia" w:hAnsiTheme="minorEastAsia" w:cstheme="minorEastAsia"/>
                <w:kern w:val="0"/>
                <w:sz w:val="24"/>
                <w:szCs w:val="24"/>
                <w:highlight w:val="none"/>
                <w:u w:color="000000"/>
              </w:rPr>
              <w:t>分</w:t>
            </w:r>
          </w:p>
        </w:tc>
        <w:tc>
          <w:tcPr>
            <w:tcW w:w="1417" w:type="dxa"/>
            <w:vAlign w:val="center"/>
          </w:tcPr>
          <w:p>
            <w:pPr>
              <w:widowControl/>
              <w:jc w:val="center"/>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Align w:val="center"/>
          </w:tcPr>
          <w:p>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008" w:type="dxa"/>
            <w:vAlign w:val="center"/>
          </w:tcPr>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节能、环境标志、无线局域网产品</w:t>
            </w:r>
          </w:p>
        </w:tc>
        <w:tc>
          <w:tcPr>
            <w:tcW w:w="1047" w:type="dxa"/>
            <w:vAlign w:val="center"/>
          </w:tcPr>
          <w:p>
            <w:pPr>
              <w:rPr>
                <w:rFonts w:asciiTheme="minorEastAsia" w:hAnsiTheme="minorEastAsia" w:cstheme="minorEastAsia"/>
                <w:sz w:val="24"/>
                <w:szCs w:val="24"/>
                <w:highlight w:val="none"/>
              </w:rPr>
            </w:pPr>
          </w:p>
        </w:tc>
        <w:tc>
          <w:tcPr>
            <w:tcW w:w="4961" w:type="dxa"/>
            <w:vAlign w:val="center"/>
          </w:tcPr>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1、所投产品属于环境标志产品的得1分；</w:t>
            </w:r>
          </w:p>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2、所投产品属于节能产品的得1分</w:t>
            </w:r>
          </w:p>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3、所投产品属于无线局域网产品的得1分。</w:t>
            </w:r>
          </w:p>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非政府采购节能、环境标志产品的、无线局域网产品的不得分。</w:t>
            </w:r>
          </w:p>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注：1、“环境标志产品政府采购品目清单”提供财政部会同国务院有关部门机构认定的机构出具的证书为准。 </w:t>
            </w:r>
          </w:p>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2、“无线局域网认证产品政府采购清单”提供财政部会同国务院有关部门机构认定的机构出具的证书为准，；</w:t>
            </w:r>
          </w:p>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3、“节能产品政府采购品目清单”提供财政部会同国务院有关部门机构认定的机构出具的证书为准。</w:t>
            </w:r>
          </w:p>
        </w:tc>
        <w:tc>
          <w:tcPr>
            <w:tcW w:w="851" w:type="dxa"/>
            <w:vAlign w:val="center"/>
          </w:tcPr>
          <w:p>
            <w:pPr>
              <w:jc w:val="center"/>
              <w:rPr>
                <w:rFonts w:asciiTheme="minorEastAsia" w:hAnsiTheme="minorEastAsia" w:cstheme="minorEastAsia"/>
                <w:kern w:val="0"/>
                <w:sz w:val="24"/>
                <w:szCs w:val="24"/>
                <w:highlight w:val="none"/>
                <w:u w:color="000000"/>
              </w:rPr>
            </w:pPr>
            <w:r>
              <w:rPr>
                <w:rFonts w:hint="eastAsia" w:asciiTheme="minorEastAsia" w:hAnsiTheme="minorEastAsia" w:cstheme="minorEastAsia"/>
                <w:kern w:val="0"/>
                <w:sz w:val="24"/>
                <w:szCs w:val="24"/>
                <w:highlight w:val="none"/>
                <w:u w:color="000000"/>
              </w:rPr>
              <w:t>3分</w:t>
            </w:r>
          </w:p>
        </w:tc>
        <w:tc>
          <w:tcPr>
            <w:tcW w:w="1417" w:type="dxa"/>
            <w:vAlign w:val="center"/>
          </w:tcPr>
          <w:p>
            <w:pPr>
              <w:widowControl/>
              <w:jc w:val="center"/>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是</w:t>
            </w:r>
          </w:p>
        </w:tc>
      </w:tr>
    </w:tbl>
    <w:p>
      <w:pPr>
        <w:widowControl/>
        <w:shd w:val="clear" w:color="auto" w:fill="FFFFFF"/>
        <w:spacing w:line="480" w:lineRule="auto"/>
        <w:ind w:firstLine="360" w:firstLineChars="150"/>
        <w:rPr>
          <w:rFonts w:ascii="宋体" w:hAnsi="宋体" w:eastAsia="宋体" w:cs="宋体"/>
          <w:kern w:val="0"/>
          <w:sz w:val="24"/>
          <w:szCs w:val="24"/>
          <w:highlight w:val="none"/>
        </w:rPr>
      </w:pPr>
    </w:p>
    <w:p>
      <w:pPr>
        <w:widowControl/>
        <w:shd w:val="clear" w:color="auto" w:fill="FFFFFF"/>
        <w:spacing w:line="48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□最低</w:t>
      </w:r>
      <w:r>
        <w:rPr>
          <w:rFonts w:ascii="宋体" w:hAnsi="宋体" w:eastAsia="宋体" w:cs="宋体"/>
          <w:kern w:val="0"/>
          <w:sz w:val="24"/>
          <w:szCs w:val="24"/>
          <w:highlight w:val="none"/>
        </w:rPr>
        <w:t>评标价法</w:t>
      </w:r>
    </w:p>
    <w:p>
      <w:pPr>
        <w:widowControl/>
        <w:shd w:val="clear" w:color="auto" w:fill="FFFFFF"/>
        <w:spacing w:line="48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评审因素： </w:t>
      </w:r>
    </w:p>
    <w:p>
      <w:pPr>
        <w:widowControl/>
        <w:shd w:val="clear" w:color="auto" w:fill="FFFFFF"/>
        <w:spacing w:line="48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扣除比例</w:t>
      </w:r>
      <w:r>
        <w:rPr>
          <w:rFonts w:ascii="宋体" w:hAnsi="宋体" w:eastAsia="宋体" w:cs="宋体"/>
          <w:kern w:val="0"/>
          <w:sz w:val="24"/>
          <w:szCs w:val="24"/>
          <w:highlight w:val="none"/>
        </w:rPr>
        <w:t>%：</w:t>
      </w:r>
    </w:p>
    <w:p>
      <w:pPr>
        <w:widowControl/>
        <w:shd w:val="clear" w:color="auto" w:fill="FFFFFF"/>
        <w:spacing w:line="48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评审标准：</w:t>
      </w:r>
    </w:p>
    <w:p>
      <w:pPr>
        <w:widowControl/>
        <w:shd w:val="clear" w:color="auto" w:fill="FFFFFF"/>
        <w:spacing w:line="48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8、合同管理安排</w:t>
      </w:r>
    </w:p>
    <w:p>
      <w:pPr>
        <w:widowControl/>
        <w:shd w:val="clear" w:color="auto" w:fill="FFFFFF"/>
        <w:spacing w:line="480" w:lineRule="auto"/>
        <w:ind w:firstLine="840"/>
        <w:rPr>
          <w:rFonts w:ascii="宋体" w:hAnsi="宋体" w:eastAsia="宋体" w:cs="宋体"/>
          <w:kern w:val="0"/>
          <w:sz w:val="24"/>
          <w:szCs w:val="24"/>
          <w:highlight w:val="none"/>
          <w:shd w:val="clear" w:color="auto" w:fill="FFFF00"/>
        </w:rPr>
      </w:pPr>
      <w:r>
        <w:rPr>
          <w:rFonts w:hint="eastAsia" w:ascii="宋体" w:hAnsi="宋体" w:eastAsia="宋体" w:cs="宋体"/>
          <w:kern w:val="0"/>
          <w:sz w:val="24"/>
          <w:szCs w:val="24"/>
          <w:highlight w:val="none"/>
        </w:rPr>
        <w:t>1）合同类型：买卖合同□  租赁合同□  建设工程合同□  技术合同□  委托合同</w:t>
      </w: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 xml:space="preserve">  物业管理合同□  其他合同□</w:t>
      </w:r>
    </w:p>
    <w:p>
      <w:pPr>
        <w:widowControl/>
        <w:shd w:val="clear" w:color="auto" w:fill="FFFFFF"/>
        <w:spacing w:line="480" w:lineRule="auto"/>
        <w:ind w:firstLine="840"/>
        <w:rPr>
          <w:rFonts w:ascii="宋体" w:hAnsi="宋体" w:eastAsia="宋体" w:cs="宋体"/>
          <w:kern w:val="0"/>
          <w:sz w:val="24"/>
          <w:szCs w:val="24"/>
          <w:highlight w:val="none"/>
        </w:rPr>
      </w:pP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）合同履行期限：自合同签订之日起</w:t>
      </w:r>
      <w:r>
        <w:rPr>
          <w:rFonts w:eastAsia="宋体"/>
          <w:highlight w:val="none"/>
        </w:rPr>
        <w:t>365</w:t>
      </w:r>
      <w:r>
        <w:rPr>
          <w:rFonts w:hint="eastAsia" w:ascii="宋体" w:hAnsi="宋体" w:eastAsia="宋体" w:cs="宋体"/>
          <w:kern w:val="0"/>
          <w:sz w:val="24"/>
          <w:szCs w:val="24"/>
          <w:highlight w:val="none"/>
        </w:rPr>
        <w:t>日</w:t>
      </w:r>
    </w:p>
    <w:p>
      <w:pPr>
        <w:widowControl/>
        <w:shd w:val="clear" w:color="auto" w:fill="FFFFFF"/>
        <w:spacing w:line="480" w:lineRule="auto"/>
        <w:ind w:firstLine="840"/>
        <w:rPr>
          <w:rFonts w:ascii="宋体" w:hAnsi="宋体" w:eastAsia="宋体" w:cs="宋体"/>
          <w:kern w:val="0"/>
          <w:sz w:val="24"/>
          <w:szCs w:val="24"/>
          <w:highlight w:val="none"/>
        </w:rPr>
      </w:pP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）合同履约地点：</w:t>
      </w:r>
      <w:r>
        <w:rPr>
          <w:rFonts w:hint="eastAsia" w:asciiTheme="minorEastAsia" w:hAnsiTheme="minorEastAsia" w:cstheme="minorEastAsia"/>
          <w:kern w:val="0"/>
          <w:sz w:val="24"/>
          <w:szCs w:val="24"/>
          <w:highlight w:val="none"/>
        </w:rPr>
        <w:t>西华大学校内指定地点。</w:t>
      </w:r>
    </w:p>
    <w:p>
      <w:pPr>
        <w:widowControl/>
        <w:shd w:val="clear" w:color="auto" w:fill="FFFFFF"/>
        <w:spacing w:line="480" w:lineRule="auto"/>
        <w:ind w:firstLine="840"/>
        <w:rPr>
          <w:rFonts w:ascii="宋体" w:hAnsi="宋体" w:eastAsia="宋体" w:cs="宋体"/>
          <w:kern w:val="0"/>
          <w:sz w:val="24"/>
          <w:szCs w:val="24"/>
          <w:highlight w:val="none"/>
          <w:shd w:val="clear" w:color="auto" w:fill="FFFF00"/>
        </w:rPr>
      </w:pPr>
      <w:r>
        <w:rPr>
          <w:rFonts w:ascii="宋体" w:hAnsi="宋体" w:eastAsia="宋体" w:cs="宋体"/>
          <w:kern w:val="0"/>
          <w:sz w:val="24"/>
          <w:szCs w:val="24"/>
          <w:highlight w:val="none"/>
        </w:rPr>
        <w:t>4</w:t>
      </w:r>
      <w:r>
        <w:rPr>
          <w:rFonts w:hint="eastAsia" w:ascii="宋体" w:hAnsi="宋体" w:eastAsia="宋体" w:cs="宋体"/>
          <w:kern w:val="0"/>
          <w:sz w:val="24"/>
          <w:szCs w:val="24"/>
          <w:highlight w:val="none"/>
        </w:rPr>
        <w:t>）支付方式：</w:t>
      </w:r>
      <w:r>
        <w:rPr>
          <w:rFonts w:hint="eastAsia"/>
          <w:sz w:val="24"/>
          <w:highlight w:val="none"/>
        </w:rPr>
        <w:t>一次付清</w:t>
      </w:r>
      <w:r>
        <w:rPr>
          <w:rFonts w:hint="eastAsia" w:ascii="宋体" w:hAnsi="宋体" w:eastAsia="宋体" w:cs="宋体"/>
          <w:kern w:val="0"/>
          <w:sz w:val="24"/>
          <w:szCs w:val="24"/>
          <w:highlight w:val="none"/>
        </w:rPr>
        <w:sym w:font="Wingdings 2" w:char="00A3"/>
      </w:r>
      <w:r>
        <w:rPr>
          <w:rFonts w:hint="eastAsia"/>
          <w:sz w:val="24"/>
          <w:highlight w:val="none"/>
        </w:rPr>
        <w:t xml:space="preserve">   分期付款</w:t>
      </w:r>
      <w:r>
        <w:rPr>
          <w:rFonts w:hint="eastAsia" w:ascii="宋体" w:hAnsi="宋体" w:eastAsia="宋体" w:cs="宋体"/>
          <w:kern w:val="0"/>
          <w:sz w:val="24"/>
          <w:szCs w:val="24"/>
          <w:highlight w:val="none"/>
        </w:rPr>
        <w:sym w:font="Wingdings 2" w:char="0052"/>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比例</w:t>
      </w:r>
      <w:r>
        <w:rPr>
          <w:rFonts w:ascii="宋体" w:hAnsi="宋体" w:eastAsia="宋体" w:cs="宋体"/>
          <w:kern w:val="0"/>
          <w:sz w:val="24"/>
          <w:szCs w:val="24"/>
          <w:highlight w:val="none"/>
        </w:rPr>
        <w:t>：</w:t>
      </w:r>
      <w:r>
        <w:rPr>
          <w:rFonts w:hint="eastAsia" w:ascii="宋体" w:hAnsi="宋体" w:eastAsia="宋体" w:cs="宋体"/>
          <w:kern w:val="0"/>
          <w:sz w:val="24"/>
          <w:szCs w:val="24"/>
          <w:highlight w:val="none"/>
        </w:rPr>
        <w:t>50%（0</w:t>
      </w:r>
      <w:r>
        <w:rPr>
          <w:rFonts w:ascii="宋体" w:hAnsi="宋体" w:eastAsia="宋体" w:cs="宋体"/>
          <w:kern w:val="0"/>
          <w:sz w:val="24"/>
          <w:szCs w:val="24"/>
          <w:highlight w:val="none"/>
        </w:rPr>
        <w:t>-100%可选</w:t>
      </w:r>
      <w:r>
        <w:rPr>
          <w:rFonts w:hint="eastAsia" w:ascii="宋体" w:hAnsi="宋体" w:eastAsia="宋体" w:cs="宋体"/>
          <w:kern w:val="0"/>
          <w:sz w:val="24"/>
          <w:szCs w:val="24"/>
          <w:highlight w:val="none"/>
        </w:rPr>
        <w:t>）</w:t>
      </w:r>
    </w:p>
    <w:p>
      <w:pPr>
        <w:ind w:firstLine="840" w:firstLineChars="300"/>
        <w:rPr>
          <w:sz w:val="28"/>
          <w:highlight w:val="none"/>
        </w:rPr>
      </w:pPr>
      <w:r>
        <w:rPr>
          <w:sz w:val="28"/>
          <w:highlight w:val="none"/>
        </w:rPr>
        <w:t>5</w:t>
      </w:r>
      <w:r>
        <w:rPr>
          <w:rFonts w:hint="eastAsia"/>
          <w:sz w:val="28"/>
          <w:highlight w:val="none"/>
        </w:rPr>
        <w:t>）履约保证金及缴纳形式：</w:t>
      </w:r>
    </w:p>
    <w:p>
      <w:pPr>
        <w:ind w:firstLine="840" w:firstLineChars="300"/>
        <w:rPr>
          <w:sz w:val="28"/>
          <w:highlight w:val="none"/>
        </w:rPr>
      </w:pPr>
      <w:r>
        <w:rPr>
          <w:rFonts w:hint="eastAsia"/>
          <w:sz w:val="28"/>
          <w:highlight w:val="none"/>
        </w:rPr>
        <w:t>中标/成交供应商是否需要缴纳履约保证金：是</w:t>
      </w:r>
    </w:p>
    <w:p>
      <w:pPr>
        <w:ind w:firstLine="840" w:firstLineChars="300"/>
        <w:rPr>
          <w:sz w:val="28"/>
          <w:highlight w:val="none"/>
        </w:rPr>
      </w:pPr>
      <w:r>
        <w:rPr>
          <w:rFonts w:hint="eastAsia"/>
          <w:sz w:val="28"/>
          <w:highlight w:val="none"/>
        </w:rPr>
        <w:t>履约保证金缴纳比例：5%</w:t>
      </w:r>
    </w:p>
    <w:p>
      <w:pPr>
        <w:ind w:firstLine="840" w:firstLineChars="300"/>
        <w:rPr>
          <w:sz w:val="28"/>
          <w:highlight w:val="none"/>
        </w:rPr>
      </w:pPr>
      <w:r>
        <w:rPr>
          <w:rFonts w:hint="eastAsia"/>
          <w:sz w:val="28"/>
          <w:highlight w:val="none"/>
        </w:rPr>
        <w:t>缴纳方式：银行转账</w:t>
      </w:r>
    </w:p>
    <w:p>
      <w:pPr>
        <w:ind w:firstLine="840" w:firstLineChars="300"/>
        <w:rPr>
          <w:sz w:val="28"/>
          <w:highlight w:val="none"/>
        </w:rPr>
      </w:pPr>
      <w:r>
        <w:rPr>
          <w:rFonts w:hint="eastAsia"/>
          <w:sz w:val="28"/>
          <w:highlight w:val="none"/>
        </w:rPr>
        <w:t>缴纳说明：缴纳履约保证金后签订合同</w:t>
      </w:r>
    </w:p>
    <w:p>
      <w:pPr>
        <w:ind w:firstLine="840" w:firstLineChars="300"/>
        <w:rPr>
          <w:sz w:val="28"/>
          <w:highlight w:val="none"/>
        </w:rPr>
      </w:pPr>
      <w:r>
        <w:rPr>
          <w:sz w:val="28"/>
          <w:highlight w:val="none"/>
        </w:rPr>
        <w:t>6</w:t>
      </w:r>
      <w:r>
        <w:rPr>
          <w:rFonts w:hint="eastAsia"/>
          <w:sz w:val="28"/>
          <w:highlight w:val="none"/>
        </w:rPr>
        <w:t>）质量保证金及缴纳形式：</w:t>
      </w:r>
    </w:p>
    <w:p>
      <w:pPr>
        <w:ind w:firstLine="700" w:firstLineChars="250"/>
        <w:rPr>
          <w:sz w:val="28"/>
          <w:highlight w:val="none"/>
        </w:rPr>
      </w:pPr>
      <w:r>
        <w:rPr>
          <w:rFonts w:hint="eastAsia"/>
          <w:sz w:val="28"/>
          <w:highlight w:val="none"/>
        </w:rPr>
        <w:t>中标/成交供应商是否需要缴纳质量保证金：否</w:t>
      </w:r>
    </w:p>
    <w:p>
      <w:pPr>
        <w:ind w:firstLine="600" w:firstLineChars="250"/>
        <w:rPr>
          <w:sz w:val="24"/>
          <w:highlight w:val="none"/>
        </w:rPr>
      </w:pPr>
    </w:p>
    <w:p>
      <w:pPr>
        <w:widowControl/>
        <w:shd w:val="clear" w:color="auto" w:fill="FFFFFF"/>
        <w:spacing w:line="480" w:lineRule="auto"/>
        <w:ind w:firstLine="720" w:firstLineChars="300"/>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合同支付约定</w:t>
      </w:r>
    </w:p>
    <w:p>
      <w:pPr>
        <w:widowControl/>
        <w:shd w:val="clear" w:color="auto" w:fill="FFFFFF"/>
        <w:spacing w:line="480" w:lineRule="auto"/>
        <w:ind w:firstLine="720" w:firstLineChars="300"/>
        <w:rPr>
          <w:rFonts w:ascii="宋体" w:hAnsi="宋体" w:eastAsia="宋体" w:cs="宋体"/>
          <w:kern w:val="0"/>
          <w:sz w:val="24"/>
          <w:szCs w:val="24"/>
          <w:highlight w:val="none"/>
        </w:rPr>
      </w:pPr>
      <w:r>
        <w:rPr>
          <w:rFonts w:hint="eastAsia" w:ascii="宋体" w:hAnsi="宋体" w:eastAsia="宋体" w:cs="宋体"/>
          <w:kern w:val="0"/>
          <w:sz w:val="24"/>
          <w:szCs w:val="24"/>
          <w:highlight w:val="none"/>
        </w:rPr>
        <w:t>付款</w:t>
      </w:r>
      <w:r>
        <w:rPr>
          <w:rFonts w:ascii="宋体" w:hAnsi="宋体" w:eastAsia="宋体" w:cs="宋体"/>
          <w:kern w:val="0"/>
          <w:sz w:val="24"/>
          <w:szCs w:val="24"/>
          <w:highlight w:val="none"/>
        </w:rPr>
        <w:t>条件：</w:t>
      </w:r>
      <w:r>
        <w:rPr>
          <w:rFonts w:hint="eastAsia" w:ascii="宋体" w:hAnsi="宋体" w:eastAsia="宋体" w:cs="宋体"/>
          <w:kern w:val="0"/>
          <w:sz w:val="24"/>
          <w:szCs w:val="24"/>
          <w:highlight w:val="none"/>
        </w:rPr>
        <w:t>签订合同后支付50%合同款，项目验收后再支付50%剩余合同款。</w:t>
      </w:r>
    </w:p>
    <w:p>
      <w:pPr>
        <w:widowControl/>
        <w:shd w:val="clear" w:color="auto" w:fill="FFFFFF"/>
        <w:spacing w:line="480" w:lineRule="auto"/>
        <w:ind w:firstLine="720" w:firstLineChars="300"/>
        <w:rPr>
          <w:rFonts w:ascii="宋体" w:hAnsi="宋体" w:eastAsia="宋体" w:cs="宋体"/>
          <w:kern w:val="0"/>
          <w:sz w:val="24"/>
          <w:szCs w:val="24"/>
          <w:highlight w:val="none"/>
        </w:rPr>
      </w:pPr>
      <w:r>
        <w:rPr>
          <w:rFonts w:hint="eastAsia" w:ascii="宋体" w:hAnsi="宋体" w:eastAsia="宋体" w:cs="宋体"/>
          <w:kern w:val="0"/>
          <w:sz w:val="24"/>
          <w:szCs w:val="24"/>
          <w:highlight w:val="none"/>
        </w:rPr>
        <w:t>签订合同后7日内，支付合同</w:t>
      </w:r>
      <w:r>
        <w:rPr>
          <w:rFonts w:ascii="宋体" w:hAnsi="宋体" w:eastAsia="宋体" w:cs="宋体"/>
          <w:kern w:val="0"/>
          <w:sz w:val="24"/>
          <w:szCs w:val="24"/>
          <w:highlight w:val="none"/>
        </w:rPr>
        <w:t>总金额</w:t>
      </w:r>
      <w:r>
        <w:rPr>
          <w:rFonts w:hint="eastAsia" w:ascii="宋体" w:hAnsi="宋体" w:eastAsia="宋体" w:cs="宋体"/>
          <w:kern w:val="0"/>
          <w:sz w:val="24"/>
          <w:szCs w:val="24"/>
          <w:highlight w:val="none"/>
        </w:rPr>
        <w:t>50</w:t>
      </w:r>
      <w:r>
        <w:rPr>
          <w:rFonts w:ascii="宋体" w:hAnsi="宋体" w:eastAsia="宋体" w:cs="宋体"/>
          <w:kern w:val="0"/>
          <w:sz w:val="24"/>
          <w:szCs w:val="24"/>
          <w:highlight w:val="none"/>
        </w:rPr>
        <w:t>%。</w:t>
      </w:r>
      <w:r>
        <w:rPr>
          <w:rFonts w:hint="eastAsia" w:ascii="宋体" w:hAnsi="宋体" w:eastAsia="宋体" w:cs="宋体"/>
          <w:kern w:val="0"/>
          <w:sz w:val="24"/>
          <w:szCs w:val="24"/>
          <w:highlight w:val="none"/>
        </w:rPr>
        <w:t>项目验收后7内日，支付合同</w:t>
      </w:r>
      <w:r>
        <w:rPr>
          <w:rFonts w:ascii="宋体" w:hAnsi="宋体" w:eastAsia="宋体" w:cs="宋体"/>
          <w:kern w:val="0"/>
          <w:sz w:val="24"/>
          <w:szCs w:val="24"/>
          <w:highlight w:val="none"/>
        </w:rPr>
        <w:t>总金额</w:t>
      </w:r>
      <w:r>
        <w:rPr>
          <w:rFonts w:hint="eastAsia" w:ascii="宋体" w:hAnsi="宋体" w:eastAsia="宋体" w:cs="宋体"/>
          <w:kern w:val="0"/>
          <w:sz w:val="24"/>
          <w:szCs w:val="24"/>
          <w:highlight w:val="none"/>
        </w:rPr>
        <w:t>50</w:t>
      </w:r>
      <w:r>
        <w:rPr>
          <w:rFonts w:ascii="宋体" w:hAnsi="宋体" w:eastAsia="宋体" w:cs="宋体"/>
          <w:kern w:val="0"/>
          <w:sz w:val="24"/>
          <w:szCs w:val="24"/>
          <w:highlight w:val="none"/>
        </w:rPr>
        <w:t>%。</w:t>
      </w:r>
    </w:p>
    <w:p>
      <w:pPr>
        <w:widowControl/>
        <w:shd w:val="clear" w:color="auto" w:fill="FFFFFF"/>
        <w:spacing w:line="480" w:lineRule="auto"/>
        <w:ind w:firstLine="840"/>
        <w:rPr>
          <w:rFonts w:ascii="宋体" w:hAnsi="宋体" w:eastAsia="宋体" w:cs="宋体"/>
          <w:kern w:val="0"/>
          <w:sz w:val="24"/>
          <w:szCs w:val="24"/>
          <w:highlight w:val="none"/>
        </w:rPr>
      </w:pP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）验收交付标准和方法：</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1、乙方提供的内容不得侵害他人的知识产权。</w:t>
      </w:r>
    </w:p>
    <w:p>
      <w:pPr>
        <w:widowControl/>
        <w:shd w:val="clear" w:color="auto" w:fill="FFFFFF"/>
        <w:spacing w:line="480" w:lineRule="auto"/>
        <w:ind w:firstLine="840"/>
        <w:rPr>
          <w:rFonts w:ascii="宋体" w:hAnsi="宋体" w:eastAsia="宋体" w:cs="宋体"/>
          <w:kern w:val="0"/>
          <w:sz w:val="24"/>
          <w:szCs w:val="24"/>
          <w:highlight w:val="none"/>
        </w:rPr>
      </w:pPr>
    </w:p>
    <w:p>
      <w:pPr>
        <w:widowControl/>
        <w:shd w:val="clear" w:color="auto" w:fill="FFFFFF"/>
        <w:spacing w:line="480" w:lineRule="auto"/>
        <w:ind w:firstLine="840"/>
        <w:rPr>
          <w:rFonts w:ascii="宋体" w:hAnsi="宋体" w:eastAsia="宋体" w:cs="宋体"/>
          <w:kern w:val="0"/>
          <w:sz w:val="24"/>
          <w:szCs w:val="24"/>
          <w:highlight w:val="none"/>
        </w:rPr>
      </w:pPr>
      <w:r>
        <w:rPr>
          <w:rFonts w:ascii="宋体" w:hAnsi="宋体" w:eastAsia="宋体" w:cs="宋体"/>
          <w:kern w:val="0"/>
          <w:sz w:val="24"/>
          <w:szCs w:val="24"/>
          <w:highlight w:val="none"/>
        </w:rPr>
        <w:t>8</w:t>
      </w:r>
      <w:r>
        <w:rPr>
          <w:rFonts w:hint="eastAsia" w:ascii="宋体" w:hAnsi="宋体" w:eastAsia="宋体" w:cs="宋体"/>
          <w:kern w:val="0"/>
          <w:sz w:val="24"/>
          <w:szCs w:val="24"/>
          <w:highlight w:val="none"/>
        </w:rPr>
        <w:t>）质量保修范围和保修期：</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产品因自身质量或设计缺陷出现的问题，供应商应提供一年的免费质保。</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保修期内，如果甲方所购产品发生故障或遇到技术问题，乙方须在接到甲方通知后4小时内响应，48小时内到达现场，72小时内排除故障，并承担相关费用，</w:t>
      </w:r>
    </w:p>
    <w:p>
      <w:pPr>
        <w:widowControl/>
        <w:shd w:val="clear" w:color="auto" w:fill="FFFFFF"/>
        <w:spacing w:line="360" w:lineRule="auto"/>
        <w:ind w:firstLine="84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9）知识产权归属和处理方式：</w:t>
      </w:r>
    </w:p>
    <w:p>
      <w:pPr>
        <w:pStyle w:val="58"/>
        <w:adjustRightInd w:val="0"/>
        <w:snapToGrid w:val="0"/>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58"/>
        <w:adjustRightInd w:val="0"/>
        <w:snapToGrid w:val="0"/>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2、采购人享有本项目实施过程中产生的知识成果及知识产权。</w:t>
      </w:r>
    </w:p>
    <w:p>
      <w:pPr>
        <w:pStyle w:val="58"/>
        <w:adjustRightInd w:val="0"/>
        <w:snapToGrid w:val="0"/>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同时需在投标文件中提供声明，并提供相关知识产权证明文件，否则视为投标人未在本项目实施过程中采用自有知识成果，不影响有效性。</w:t>
      </w:r>
    </w:p>
    <w:p>
      <w:pPr>
        <w:pStyle w:val="58"/>
        <w:adjustRightInd w:val="0"/>
        <w:snapToGrid w:val="0"/>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4、如采用投标人所不拥有的知识产权，则在投标报价中必须包括合法获取该知识产权的相关费用采购人不再因投标人采用所不拥有的知识产权而另行支付任何费用。 </w:t>
      </w:r>
    </w:p>
    <w:p>
      <w:pPr>
        <w:widowControl/>
        <w:shd w:val="clear" w:color="auto" w:fill="FFFFFF"/>
        <w:spacing w:line="360" w:lineRule="auto"/>
        <w:ind w:firstLine="84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10）成本补偿和风险分担约定：</w:t>
      </w:r>
    </w:p>
    <w:p>
      <w:pPr>
        <w:pStyle w:val="58"/>
        <w:adjustRightInd w:val="0"/>
        <w:snapToGrid w:val="0"/>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1、在合同有效期内，任何一方因不可抗力事件导致不能履行合同，则合同履行期可延长，其延长期与不可抗力影响期相同。</w:t>
      </w:r>
    </w:p>
    <w:p>
      <w:pPr>
        <w:pStyle w:val="58"/>
        <w:adjustRightInd w:val="0"/>
        <w:snapToGrid w:val="0"/>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2、不可抗力事件发生后，应立即通知对方，并寄送有关权威机构出具的证明。</w:t>
      </w:r>
    </w:p>
    <w:p>
      <w:pPr>
        <w:pStyle w:val="58"/>
        <w:adjustRightInd w:val="0"/>
        <w:snapToGrid w:val="0"/>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3、不可抗力事件延续60天以上，双方应通过友好协商，确定是否继续履行合同。</w:t>
      </w:r>
    </w:p>
    <w:p>
      <w:pPr>
        <w:widowControl/>
        <w:shd w:val="clear" w:color="auto" w:fill="FFFFFF"/>
        <w:spacing w:line="360" w:lineRule="auto"/>
        <w:ind w:firstLine="840"/>
        <w:rPr>
          <w:rFonts w:asciiTheme="minorEastAsia" w:hAnsiTheme="minorEastAsia" w:cstheme="minorEastAsia"/>
          <w:kern w:val="0"/>
          <w:sz w:val="24"/>
          <w:szCs w:val="24"/>
          <w:highlight w:val="none"/>
          <w:shd w:val="clear" w:color="auto" w:fill="FFFF00"/>
        </w:rPr>
      </w:pPr>
      <w:r>
        <w:rPr>
          <w:rFonts w:hint="eastAsia" w:asciiTheme="minorEastAsia" w:hAnsiTheme="minorEastAsia" w:cstheme="minorEastAsia"/>
          <w:kern w:val="0"/>
          <w:sz w:val="24"/>
          <w:szCs w:val="24"/>
          <w:highlight w:val="none"/>
        </w:rPr>
        <w:t>11）违约责任与解决争议的方法：</w:t>
      </w:r>
    </w:p>
    <w:p>
      <w:pPr>
        <w:pStyle w:val="58"/>
        <w:adjustRightInd w:val="0"/>
        <w:snapToGrid w:val="0"/>
        <w:spacing w:line="360" w:lineRule="auto"/>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1、因货物的质量问题发生争议，由质量技术监督部门或其指定的质量鉴定机构进行质量鉴定。货物符合标准的，鉴定费由甲方承担；货物不符合质量标准的，鉴定费由乙方承担。</w:t>
      </w:r>
    </w:p>
    <w:p>
      <w:pPr>
        <w:tabs>
          <w:tab w:val="left" w:pos="426"/>
        </w:tabs>
        <w:adjustRightInd w:val="0"/>
        <w:snapToGrid w:val="0"/>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合同履行期间,若双方发生争议，可协商或由有关部门调解解决。双方经协商在15天内不能达成协议时，应提交成都仲裁委员会仲裁。仲裁裁决应为最终决定，并对双方具有约束力。除另有裁决外，仲裁费应由败诉方负担。在仲裁期间，除正在进行仲裁部分外，合同其他部分继续执行。</w:t>
      </w:r>
    </w:p>
    <w:p>
      <w:pPr>
        <w:widowControl/>
        <w:shd w:val="clear" w:color="auto" w:fill="FFFFFF"/>
        <w:spacing w:line="360" w:lineRule="auto"/>
        <w:ind w:firstLine="84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12）合同其他条款：</w:t>
      </w:r>
    </w:p>
    <w:p>
      <w:pPr>
        <w:pStyle w:val="58"/>
        <w:adjustRightInd w:val="0"/>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rPr>
        <w:t>本项目内容须与校方已有的开放式虚拟仿真教学及资源共享平台数据实现无缝对接,实现教学数据及实验数据共享，并支持完整的教学过程管理功能，包括开课管理、实验开课管理、典型实验库的维护、实验教学安排、实验结果的批改等功能；（须提供承诺书）</w:t>
      </w:r>
    </w:p>
    <w:p>
      <w:pPr>
        <w:pStyle w:val="58"/>
        <w:adjustRightInd w:val="0"/>
        <w:snapToGrid w:val="0"/>
        <w:spacing w:line="360" w:lineRule="auto"/>
        <w:ind w:firstLine="48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附：实验项目资源与平台对接接口规范</w:t>
      </w:r>
      <w:r>
        <w:rPr>
          <w:rFonts w:hint="eastAsia" w:asciiTheme="minorEastAsia" w:hAnsiTheme="minorEastAsia" w:eastAsiaTheme="minorEastAsia" w:cstheme="minorEastAsia"/>
          <w:highlight w:val="none"/>
          <w:lang w:eastAsia="zh-CN"/>
        </w:rPr>
        <w:t>：</w:t>
      </w:r>
    </w:p>
    <w:p>
      <w:pPr>
        <w:tabs>
          <w:tab w:val="left" w:pos="426"/>
        </w:tabs>
        <w:adjustRightInd w:val="0"/>
        <w:snapToGrid w:val="0"/>
        <w:spacing w:line="360" w:lineRule="auto"/>
        <w:ind w:firstLine="480" w:firstLineChars="2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rPr>
        <w:t>资源登录接口:为windows版资源提供用户统一认证功能，当用户输入账户和密码后，点击登陆调用该接口，如果认证成功，返回用户信息和实验列表给资源，如果认证失败，则返回状态码和失败信息。URL:Host/outer/login?param=登陆数据</w:t>
      </w:r>
    </w:p>
    <w:p>
      <w:pPr>
        <w:tabs>
          <w:tab w:val="left" w:pos="426"/>
        </w:tabs>
        <w:adjustRightInd w:val="0"/>
        <w:snapToGrid w:val="0"/>
        <w:spacing w:line="360" w:lineRule="auto"/>
        <w:ind w:firstLine="480" w:firstLineChars="2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r>
        <w:rPr>
          <w:rFonts w:hint="eastAsia" w:asciiTheme="minorEastAsia" w:hAnsiTheme="minorEastAsia" w:cstheme="minorEastAsia"/>
          <w:sz w:val="24"/>
          <w:szCs w:val="24"/>
          <w:highlight w:val="none"/>
          <w:lang w:val="en-US" w:eastAsia="zh-CN"/>
        </w:rPr>
        <w:t>)</w:t>
      </w:r>
      <w:r>
        <w:rPr>
          <w:rFonts w:hint="eastAsia" w:asciiTheme="minorEastAsia" w:hAnsiTheme="minorEastAsia" w:cstheme="minorEastAsia"/>
          <w:sz w:val="24"/>
          <w:szCs w:val="24"/>
          <w:highlight w:val="none"/>
        </w:rPr>
        <w:t>上传实验脚本接口：用户在操作资源的过程中，可以通过调用该接口，保存实验脚本至虚仿平台进行存档。URL：Host/outerayback/!submit</w:t>
      </w:r>
    </w:p>
    <w:p>
      <w:pPr>
        <w:tabs>
          <w:tab w:val="left" w:pos="426"/>
        </w:tabs>
        <w:adjustRightInd w:val="0"/>
        <w:snapToGrid w:val="0"/>
        <w:spacing w:line="360" w:lineRule="auto"/>
        <w:ind w:firstLine="480" w:firstLineChars="2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w:t>
      </w:r>
      <w:r>
        <w:rPr>
          <w:rFonts w:hint="eastAsia" w:asciiTheme="minorEastAsia" w:hAnsiTheme="minorEastAsia" w:cstheme="minorEastAsia"/>
          <w:sz w:val="24"/>
          <w:szCs w:val="24"/>
          <w:highlight w:val="none"/>
        </w:rPr>
        <w:t>下载实验脚本接口：用户再次访问操作资源时，通过调用该接口下载上次存档的实验脚本，以便接着上一次的操作继续。URL：Host/outerayback/!obtain</w:t>
      </w:r>
    </w:p>
    <w:p>
      <w:pPr>
        <w:widowControl/>
        <w:shd w:val="clear" w:color="auto" w:fill="FFFFFF"/>
        <w:spacing w:line="480" w:lineRule="auto"/>
        <w:ind w:firstLine="420"/>
        <w:rPr>
          <w:rFonts w:hint="eastAsia" w:asciiTheme="minorEastAsia" w:hAnsiTheme="minorEastAsia" w:cstheme="minorEastAsia"/>
          <w:kern w:val="0"/>
          <w:sz w:val="24"/>
          <w:szCs w:val="24"/>
          <w:highlight w:val="none"/>
        </w:rPr>
      </w:pPr>
      <w:r>
        <w:rPr>
          <w:rFonts w:hint="eastAsia" w:asciiTheme="minorEastAsia" w:hAnsiTheme="minorEastAsia" w:cstheme="minorEastAsia"/>
          <w:sz w:val="24"/>
          <w:szCs w:val="24"/>
          <w:highlight w:val="none"/>
        </w:rPr>
        <w:t>4</w:t>
      </w:r>
      <w:r>
        <w:rPr>
          <w:rFonts w:hint="eastAsia" w:asciiTheme="minorEastAsia" w:hAnsiTheme="minorEastAsia" w:cstheme="minorEastAsia"/>
          <w:sz w:val="24"/>
          <w:szCs w:val="24"/>
          <w:highlight w:val="none"/>
          <w:lang w:val="en-US" w:eastAsia="zh-CN"/>
        </w:rPr>
        <w:t>)</w:t>
      </w:r>
      <w:r>
        <w:rPr>
          <w:rFonts w:hint="eastAsia" w:asciiTheme="minorEastAsia" w:hAnsiTheme="minorEastAsia" w:cstheme="minorEastAsia"/>
          <w:sz w:val="24"/>
          <w:szCs w:val="24"/>
          <w:highlight w:val="none"/>
        </w:rPr>
        <w:t>上传实验成绩接口：用于接收并保存实验资源第三方推送的学生实验成绩。URL:Host/outer/intelligent/!expScoreSave</w:t>
      </w:r>
    </w:p>
    <w:p>
      <w:pPr>
        <w:widowControl/>
        <w:shd w:val="clear" w:color="auto" w:fill="FFFFFF"/>
        <w:spacing w:line="480" w:lineRule="auto"/>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2、</w:t>
      </w:r>
      <w:r>
        <w:rPr>
          <w:rFonts w:hint="eastAsia" w:asciiTheme="minorEastAsia" w:hAnsiTheme="minorEastAsia" w:cstheme="minorEastAsia"/>
          <w:kern w:val="0"/>
          <w:sz w:val="24"/>
          <w:szCs w:val="24"/>
          <w:highlight w:val="none"/>
        </w:rPr>
        <w:t>成交人须在签订合同后</w:t>
      </w:r>
      <w:r>
        <w:rPr>
          <w:rFonts w:asciiTheme="minorEastAsia" w:hAnsiTheme="minorEastAsia" w:cstheme="minorEastAsia"/>
          <w:kern w:val="0"/>
          <w:sz w:val="24"/>
          <w:szCs w:val="24"/>
          <w:highlight w:val="none"/>
        </w:rPr>
        <w:t>90</w:t>
      </w:r>
      <w:r>
        <w:rPr>
          <w:rFonts w:hint="eastAsia" w:asciiTheme="minorEastAsia" w:hAnsiTheme="minorEastAsia" w:cstheme="minorEastAsia"/>
          <w:kern w:val="0"/>
          <w:sz w:val="24"/>
          <w:szCs w:val="24"/>
          <w:highlight w:val="none"/>
        </w:rPr>
        <w:t>日内完成研发调试并交付采购人使用,并在虚拟仿真系统验收合格之日起提供1年的服务</w:t>
      </w:r>
    </w:p>
    <w:p>
      <w:pPr>
        <w:widowControl/>
        <w:shd w:val="clear" w:color="auto" w:fill="FFFFFF"/>
        <w:spacing w:line="480" w:lineRule="auto"/>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9、履约验收方案</w:t>
      </w:r>
    </w:p>
    <w:p>
      <w:pPr>
        <w:widowControl/>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t>1）验收组织方式：</w:t>
      </w: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自行验收   □委托第三方验收</w:t>
      </w:r>
    </w:p>
    <w:p>
      <w:pPr>
        <w:widowControl/>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t>2）是否邀请本项目的其他供应商：是</w:t>
      </w:r>
      <w:r>
        <w:rPr>
          <w:rFonts w:hint="eastAsia" w:ascii="宋体" w:hAnsi="宋体" w:eastAsia="宋体" w:cs="宋体"/>
          <w:kern w:val="0"/>
          <w:sz w:val="24"/>
          <w:szCs w:val="24"/>
          <w:highlight w:val="none"/>
        </w:rPr>
        <w:sym w:font="Wingdings 2" w:char="00A3"/>
      </w: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否</w:t>
      </w:r>
      <w:r>
        <w:rPr>
          <w:rFonts w:hint="eastAsia" w:ascii="宋体" w:hAnsi="宋体" w:eastAsia="宋体" w:cs="宋体"/>
          <w:kern w:val="0"/>
          <w:sz w:val="24"/>
          <w:szCs w:val="24"/>
          <w:highlight w:val="none"/>
        </w:rPr>
        <w:sym w:font="Wingdings 2" w:char="0052"/>
      </w:r>
    </w:p>
    <w:p>
      <w:pPr>
        <w:widowControl/>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t>3）是否邀请专家：是□  否</w:t>
      </w:r>
      <w:r>
        <w:rPr>
          <w:rFonts w:hint="eastAsia" w:ascii="宋体" w:hAnsi="宋体" w:eastAsia="宋体" w:cs="宋体"/>
          <w:kern w:val="0"/>
          <w:sz w:val="24"/>
          <w:szCs w:val="24"/>
          <w:highlight w:val="none"/>
        </w:rPr>
        <w:sym w:font="Wingdings 2" w:char="0052"/>
      </w:r>
    </w:p>
    <w:p>
      <w:pPr>
        <w:widowControl/>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t>4）是否邀请服务对象：是</w:t>
      </w: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否</w:t>
      </w:r>
      <w:r>
        <w:rPr>
          <w:rFonts w:hint="eastAsia" w:ascii="宋体" w:hAnsi="宋体" w:eastAsia="宋体" w:cs="宋体"/>
          <w:kern w:val="0"/>
          <w:sz w:val="24"/>
          <w:szCs w:val="24"/>
          <w:highlight w:val="none"/>
        </w:rPr>
        <w:sym w:font="Wingdings 2" w:char="00A3"/>
      </w:r>
    </w:p>
    <w:p>
      <w:pPr>
        <w:widowControl/>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5）是否邀请第三方检测机构：是□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否</w:t>
      </w:r>
      <w:r>
        <w:rPr>
          <w:rFonts w:hint="eastAsia" w:ascii="宋体" w:hAnsi="宋体" w:eastAsia="宋体" w:cs="宋体"/>
          <w:kern w:val="0"/>
          <w:sz w:val="24"/>
          <w:szCs w:val="24"/>
          <w:highlight w:val="none"/>
        </w:rPr>
        <w:sym w:font="Wingdings 2" w:char="0052"/>
      </w:r>
    </w:p>
    <w:p>
      <w:pPr>
        <w:widowControl/>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t>6）履约验收程序：</w:t>
      </w: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一次性验收   □分段/分期验收</w:t>
      </w:r>
    </w:p>
    <w:p>
      <w:pPr>
        <w:ind w:firstLine="840" w:firstLineChars="300"/>
        <w:rPr>
          <w:sz w:val="28"/>
          <w:highlight w:val="none"/>
        </w:rPr>
      </w:pPr>
      <w:r>
        <w:rPr>
          <w:rFonts w:hint="eastAsia"/>
          <w:sz w:val="28"/>
          <w:highlight w:val="none"/>
        </w:rPr>
        <w:t>7）履约验收时间：</w:t>
      </w:r>
    </w:p>
    <w:p>
      <w:pPr>
        <w:ind w:firstLine="700" w:firstLineChars="250"/>
        <w:rPr>
          <w:sz w:val="28"/>
          <w:highlight w:val="none"/>
        </w:rPr>
      </w:pPr>
      <w:r>
        <w:rPr>
          <w:rFonts w:hint="eastAsia"/>
          <w:sz w:val="28"/>
          <w:highlight w:val="none"/>
        </w:rPr>
        <w:sym w:font="Wingdings 2" w:char="0052"/>
      </w:r>
      <w:r>
        <w:rPr>
          <w:rFonts w:hint="eastAsia"/>
          <w:sz w:val="28"/>
          <w:highlight w:val="none"/>
        </w:rPr>
        <w:t>计划于2022年10月组织验收</w:t>
      </w:r>
    </w:p>
    <w:p>
      <w:pPr>
        <w:ind w:firstLine="700" w:firstLineChars="250"/>
        <w:rPr>
          <w:sz w:val="28"/>
          <w:highlight w:val="none"/>
        </w:rPr>
      </w:pPr>
      <w:r>
        <w:rPr>
          <w:rFonts w:hint="eastAsia"/>
          <w:sz w:val="28"/>
          <w:highlight w:val="none"/>
        </w:rPr>
        <w:sym w:font="Wingdings 2" w:char="0052"/>
      </w:r>
      <w:r>
        <w:rPr>
          <w:rFonts w:hint="eastAsia"/>
          <w:sz w:val="28"/>
          <w:highlight w:val="none"/>
        </w:rPr>
        <w:t>供应商提出验收申请之日起5日内组织验收</w:t>
      </w:r>
    </w:p>
    <w:p>
      <w:pPr>
        <w:widowControl/>
        <w:numPr>
          <w:ilvl w:val="0"/>
          <w:numId w:val="1"/>
        </w:numPr>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验收组织的其他事项： </w:t>
      </w:r>
    </w:p>
    <w:p>
      <w:pPr>
        <w:widowControl/>
        <w:shd w:val="clear" w:color="auto" w:fill="FFFFFF"/>
        <w:spacing w:line="48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无</w:t>
      </w:r>
    </w:p>
    <w:p>
      <w:pPr>
        <w:widowControl/>
        <w:shd w:val="clear" w:color="auto" w:fill="FFFFFF"/>
        <w:spacing w:line="480" w:lineRule="auto"/>
        <w:ind w:firstLine="840"/>
        <w:rPr>
          <w:rFonts w:ascii="宋体" w:hAnsi="宋体" w:eastAsia="宋体" w:cs="宋体"/>
          <w:kern w:val="0"/>
          <w:sz w:val="24"/>
          <w:szCs w:val="24"/>
          <w:highlight w:val="none"/>
        </w:rPr>
      </w:pPr>
      <w:r>
        <w:rPr>
          <w:rFonts w:ascii="宋体" w:hAnsi="宋体" w:eastAsia="宋体" w:cs="宋体"/>
          <w:kern w:val="0"/>
          <w:sz w:val="24"/>
          <w:szCs w:val="24"/>
          <w:highlight w:val="none"/>
        </w:rPr>
        <w:t>9</w:t>
      </w:r>
      <w:r>
        <w:rPr>
          <w:rFonts w:hint="eastAsia" w:ascii="宋体" w:hAnsi="宋体" w:eastAsia="宋体" w:cs="宋体"/>
          <w:kern w:val="0"/>
          <w:sz w:val="24"/>
          <w:szCs w:val="24"/>
          <w:highlight w:val="none"/>
        </w:rPr>
        <w:t>）技术履约验收内容：</w:t>
      </w:r>
    </w:p>
    <w:p>
      <w:pPr>
        <w:widowControl/>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t>操作手册及源代码</w:t>
      </w:r>
    </w:p>
    <w:p>
      <w:pPr>
        <w:widowControl/>
        <w:numPr>
          <w:ilvl w:val="0"/>
          <w:numId w:val="1"/>
        </w:numPr>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t>商务履约验收内容：</w:t>
      </w:r>
    </w:p>
    <w:p>
      <w:pPr>
        <w:widowControl/>
        <w:shd w:val="clear" w:color="auto" w:fill="FFFFFF"/>
        <w:spacing w:line="360" w:lineRule="auto"/>
        <w:ind w:firstLine="480" w:firstLineChars="20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按合同规定对货物的品牌、型号、规格等进行核对验收。</w:t>
      </w:r>
    </w:p>
    <w:p>
      <w:pPr>
        <w:widowControl/>
        <w:shd w:val="clear" w:color="auto" w:fill="FFFFFF"/>
        <w:spacing w:line="480" w:lineRule="auto"/>
        <w:ind w:firstLine="840"/>
        <w:rPr>
          <w:rFonts w:ascii="宋体" w:hAnsi="宋体" w:eastAsia="宋体" w:cs="宋体"/>
          <w:kern w:val="0"/>
          <w:sz w:val="24"/>
          <w:szCs w:val="24"/>
          <w:highlight w:val="none"/>
        </w:rPr>
      </w:pPr>
    </w:p>
    <w:p>
      <w:pPr>
        <w:widowControl/>
        <w:shd w:val="clear" w:color="auto" w:fill="FFFFFF"/>
        <w:spacing w:line="480" w:lineRule="auto"/>
        <w:ind w:firstLine="840"/>
        <w:rPr>
          <w:rFonts w:ascii="宋体" w:hAnsi="宋体" w:eastAsia="宋体" w:cs="宋体"/>
          <w:kern w:val="0"/>
          <w:sz w:val="24"/>
          <w:szCs w:val="24"/>
          <w:highlight w:val="none"/>
          <w:shd w:val="clear" w:color="auto" w:fill="FFFF00"/>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）履约验收标准：</w:t>
      </w:r>
    </w:p>
    <w:p>
      <w:pPr>
        <w:widowControl/>
        <w:shd w:val="clear" w:color="auto" w:fill="FFFFFF"/>
        <w:spacing w:line="360" w:lineRule="auto"/>
        <w:ind w:firstLine="840"/>
        <w:rPr>
          <w:rFonts w:ascii="宋体" w:hAnsi="宋体" w:eastAsia="宋体" w:cs="宋体"/>
          <w:kern w:val="0"/>
          <w:sz w:val="24"/>
          <w:szCs w:val="24"/>
          <w:highlight w:val="none"/>
        </w:rPr>
      </w:pPr>
      <w:r>
        <w:rPr>
          <w:rFonts w:hint="eastAsia" w:asciiTheme="minorEastAsia" w:hAnsiTheme="minorEastAsia" w:cstheme="minorEastAsia"/>
          <w:kern w:val="0"/>
          <w:sz w:val="24"/>
          <w:szCs w:val="24"/>
          <w:highlight w:val="none"/>
        </w:rPr>
        <w:t>按国家有关规定以及甲方招标文件的质量要求和技术指标、乙方的投标文件及承诺与本合同约定标准进行验收；</w:t>
      </w:r>
    </w:p>
    <w:p>
      <w:pPr>
        <w:widowControl/>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）履约验收其他事项：</w:t>
      </w:r>
    </w:p>
    <w:p>
      <w:pPr>
        <w:widowControl/>
        <w:shd w:val="clear" w:color="auto" w:fill="FFFFFF"/>
        <w:spacing w:line="480" w:lineRule="auto"/>
        <w:ind w:firstLine="840"/>
        <w:rPr>
          <w:rFonts w:ascii="宋体" w:hAnsi="宋体" w:eastAsia="宋体" w:cs="宋体"/>
          <w:kern w:val="0"/>
          <w:sz w:val="24"/>
          <w:szCs w:val="24"/>
          <w:highlight w:val="none"/>
        </w:rPr>
      </w:pPr>
      <w:r>
        <w:rPr>
          <w:rFonts w:hint="eastAsia" w:ascii="宋体" w:hAnsi="宋体" w:eastAsia="宋体" w:cs="宋体"/>
          <w:kern w:val="0"/>
          <w:sz w:val="24"/>
          <w:szCs w:val="24"/>
          <w:highlight w:val="none"/>
        </w:rPr>
        <w:t>无</w:t>
      </w:r>
    </w:p>
    <w:p>
      <w:pPr>
        <w:widowControl/>
        <w:shd w:val="clear" w:color="auto" w:fill="FFFFFF"/>
        <w:spacing w:line="480" w:lineRule="auto"/>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五、风险控制措施和替代方案</w:t>
      </w:r>
    </w:p>
    <w:p>
      <w:pPr>
        <w:widowControl/>
        <w:shd w:val="clear" w:color="auto" w:fill="FFFFFF"/>
        <w:spacing w:line="360" w:lineRule="auto"/>
        <w:ind w:firstLine="84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该采购项目按照《政府采购需求管理办法》第二十五条规定，本项目是否需要组织风险判断、提出处置措施和替代方案：是□（填以下信息）  否</w:t>
      </w:r>
      <w:r>
        <w:rPr>
          <w:rFonts w:hint="eastAsia" w:asciiTheme="minorEastAsia" w:hAnsiTheme="minorEastAsia" w:cstheme="minorEastAsia"/>
          <w:kern w:val="0"/>
          <w:sz w:val="24"/>
          <w:szCs w:val="24"/>
          <w:highlight w:val="none"/>
        </w:rPr>
        <w:sym w:font="Wingdings" w:char="00FE"/>
      </w:r>
    </w:p>
    <w:p>
      <w:pPr>
        <w:widowControl/>
        <w:shd w:val="clear" w:color="auto" w:fill="FFFFFF"/>
        <w:spacing w:line="360" w:lineRule="auto"/>
        <w:ind w:firstLine="84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1）国家政策变化风险的应对措施：</w:t>
      </w:r>
    </w:p>
    <w:p>
      <w:pPr>
        <w:widowControl/>
        <w:shd w:val="clear" w:color="auto" w:fill="FFFFFF"/>
        <w:spacing w:line="360" w:lineRule="auto"/>
        <w:ind w:firstLine="84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2）实施环境变化风险的应对措施：</w:t>
      </w:r>
    </w:p>
    <w:p>
      <w:pPr>
        <w:widowControl/>
        <w:shd w:val="clear" w:color="auto" w:fill="FFFFFF"/>
        <w:spacing w:line="360" w:lineRule="auto"/>
        <w:ind w:firstLine="84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3）重大技术变化风险的应对措施：</w:t>
      </w:r>
    </w:p>
    <w:p>
      <w:pPr>
        <w:widowControl/>
        <w:shd w:val="clear" w:color="auto" w:fill="FFFFFF"/>
        <w:spacing w:line="360" w:lineRule="auto"/>
        <w:ind w:firstLine="84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4）预算项目调整风险的应对措施：</w:t>
      </w:r>
    </w:p>
    <w:p>
      <w:pPr>
        <w:widowControl/>
        <w:shd w:val="clear" w:color="auto" w:fill="FFFFFF"/>
        <w:spacing w:line="360" w:lineRule="auto"/>
        <w:ind w:firstLine="84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5）因质疑投诉影响采购进度风险的应对措施：</w:t>
      </w:r>
    </w:p>
    <w:p>
      <w:pPr>
        <w:widowControl/>
        <w:shd w:val="clear" w:color="auto" w:fill="FFFFFF"/>
        <w:spacing w:line="360" w:lineRule="auto"/>
        <w:ind w:firstLine="84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6）采购失败风险的应对措施：</w:t>
      </w:r>
    </w:p>
    <w:p>
      <w:pPr>
        <w:widowControl/>
        <w:shd w:val="clear" w:color="auto" w:fill="FFFFFF"/>
        <w:spacing w:line="360" w:lineRule="auto"/>
        <w:ind w:firstLine="84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7）不按规定签订或者履行合同风险的应对措施：</w:t>
      </w:r>
    </w:p>
    <w:p>
      <w:pPr>
        <w:widowControl/>
        <w:shd w:val="clear" w:color="auto" w:fill="FFFFFF"/>
        <w:spacing w:line="360" w:lineRule="auto"/>
        <w:ind w:firstLine="84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8）出现损害国家利益和社会公共利益情形风险的应对措施：</w:t>
      </w:r>
    </w:p>
    <w:p>
      <w:pPr>
        <w:widowControl/>
        <w:shd w:val="clear" w:color="auto" w:fill="FFFFFF"/>
        <w:spacing w:line="360" w:lineRule="auto"/>
        <w:ind w:firstLine="84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9）其他采购和合同履行过程的风险及应对措施：</w:t>
      </w:r>
    </w:p>
    <w:p>
      <w:pPr>
        <w:widowControl/>
        <w:shd w:val="clear" w:color="auto" w:fill="FFFFFF"/>
        <w:spacing w:line="360" w:lineRule="auto"/>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项目负责人（签字）：</w:t>
      </w:r>
    </w:p>
    <w:p>
      <w:pPr>
        <w:widowControl/>
        <w:shd w:val="clear" w:color="auto" w:fill="FFFFFF"/>
        <w:spacing w:line="360" w:lineRule="auto"/>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项目单位负责人（签字）：</w:t>
      </w:r>
    </w:p>
    <w:p>
      <w:pPr>
        <w:widowControl/>
        <w:shd w:val="clear" w:color="auto" w:fill="FFFFFF"/>
        <w:spacing w:line="360" w:lineRule="auto"/>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经费主管部门负责人（签字）：　　　　　　　　　　　</w:t>
      </w:r>
    </w:p>
    <w:p>
      <w:pPr>
        <w:widowControl/>
        <w:shd w:val="clear" w:color="auto" w:fill="FFFFFF"/>
        <w:spacing w:line="360" w:lineRule="auto"/>
        <w:ind w:firstLine="840"/>
        <w:rPr>
          <w:rFonts w:asciiTheme="minorEastAsia" w:hAnsiTheme="minorEastAsia" w:cstheme="minorEastAsia"/>
          <w:kern w:val="0"/>
          <w:sz w:val="24"/>
          <w:szCs w:val="24"/>
          <w:highlight w:val="none"/>
        </w:rPr>
      </w:pPr>
    </w:p>
    <w:p>
      <w:pPr>
        <w:widowControl/>
        <w:shd w:val="clear" w:color="auto" w:fill="FFFFFF"/>
        <w:spacing w:line="360" w:lineRule="auto"/>
        <w:ind w:firstLine="6000" w:firstLineChars="250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年   月   日</w:t>
      </w:r>
    </w:p>
    <w:p>
      <w:pPr>
        <w:spacing w:line="360" w:lineRule="auto"/>
        <w:rPr>
          <w:rFonts w:asciiTheme="minorEastAsia" w:hAnsiTheme="minorEastAsia" w:cstheme="minorEastAsia"/>
          <w:sz w:val="24"/>
          <w:szCs w:val="24"/>
          <w:highlight w:val="none"/>
        </w:rPr>
      </w:pPr>
    </w:p>
    <w:p>
      <w:pPr>
        <w:widowControl/>
        <w:shd w:val="clear" w:color="auto" w:fill="FFFFFF"/>
        <w:spacing w:line="360" w:lineRule="auto"/>
        <w:ind w:firstLine="84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注意事项：</w:t>
      </w:r>
    </w:p>
    <w:p>
      <w:pPr>
        <w:widowControl/>
        <w:shd w:val="clear" w:color="auto" w:fill="FFFFFF"/>
        <w:spacing w:line="360" w:lineRule="auto"/>
        <w:ind w:firstLine="840"/>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1.采购项目预算大于50万元（含50万元）需提供采购单位确定需求的部（处）会议纪要或学院党政联席会议纪要。</w:t>
      </w:r>
    </w:p>
    <w:p>
      <w:pPr>
        <w:widowControl/>
        <w:shd w:val="clear" w:color="auto" w:fill="FFFFFF"/>
        <w:spacing w:line="360" w:lineRule="auto"/>
        <w:ind w:firstLine="840"/>
        <w:rPr>
          <w:rFonts w:asciiTheme="minorEastAsia" w:hAnsiTheme="minorEastAsia" w:cstheme="minorEastAsia"/>
          <w:sz w:val="24"/>
          <w:szCs w:val="24"/>
          <w:highlight w:val="none"/>
        </w:rPr>
      </w:pPr>
      <w:r>
        <w:rPr>
          <w:rFonts w:hint="eastAsia" w:asciiTheme="minorEastAsia" w:hAnsiTheme="minorEastAsia" w:cstheme="minorEastAsia"/>
          <w:kern w:val="0"/>
          <w:sz w:val="24"/>
          <w:szCs w:val="24"/>
          <w:highlight w:val="none"/>
        </w:rPr>
        <w:t>2.各单位政府采购项目的采购需求在部门（学院）网站首页公示不少于3天。公示期结束后将公示截图打印交国有资产与实验室管理处（招投标中心），并标明公示期是否有异议</w:t>
      </w:r>
      <w:r>
        <w:rPr>
          <w:rFonts w:hint="eastAsia" w:asciiTheme="minorEastAsia" w:hAnsiTheme="minorEastAsia" w:cstheme="minorEastAsia"/>
          <w:sz w:val="24"/>
          <w:szCs w:val="24"/>
          <w:highlight w:val="none"/>
        </w:rPr>
        <w:t>。</w:t>
      </w:r>
    </w:p>
    <w:p>
      <w:pPr>
        <w:rPr>
          <w:sz w:val="28"/>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1FE52"/>
    <w:multiLevelType w:val="singleLevel"/>
    <w:tmpl w:val="F591FE52"/>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zNWFjMmE4MjQ4ZmFjNzgzNTBmMjRhNGU5YWMwMDUifQ=="/>
  </w:docVars>
  <w:rsids>
    <w:rsidRoot w:val="00283798"/>
    <w:rsid w:val="00042998"/>
    <w:rsid w:val="000470FC"/>
    <w:rsid w:val="00060343"/>
    <w:rsid w:val="000A232A"/>
    <w:rsid w:val="00186E4C"/>
    <w:rsid w:val="00211355"/>
    <w:rsid w:val="00226CED"/>
    <w:rsid w:val="002502DF"/>
    <w:rsid w:val="00283798"/>
    <w:rsid w:val="00321DC7"/>
    <w:rsid w:val="00334BD1"/>
    <w:rsid w:val="0035375B"/>
    <w:rsid w:val="00375C98"/>
    <w:rsid w:val="00420486"/>
    <w:rsid w:val="0044357E"/>
    <w:rsid w:val="00481673"/>
    <w:rsid w:val="005005DE"/>
    <w:rsid w:val="005054AE"/>
    <w:rsid w:val="005A126A"/>
    <w:rsid w:val="005E78B8"/>
    <w:rsid w:val="005E79E8"/>
    <w:rsid w:val="006269DA"/>
    <w:rsid w:val="006342A2"/>
    <w:rsid w:val="00694F1A"/>
    <w:rsid w:val="006F066B"/>
    <w:rsid w:val="006F3BE4"/>
    <w:rsid w:val="006F5DC0"/>
    <w:rsid w:val="00734F56"/>
    <w:rsid w:val="00761E5F"/>
    <w:rsid w:val="00764016"/>
    <w:rsid w:val="007B2A0D"/>
    <w:rsid w:val="007C25E0"/>
    <w:rsid w:val="007C632E"/>
    <w:rsid w:val="007D5516"/>
    <w:rsid w:val="007E3D67"/>
    <w:rsid w:val="00804CA5"/>
    <w:rsid w:val="00815756"/>
    <w:rsid w:val="00842391"/>
    <w:rsid w:val="0085483B"/>
    <w:rsid w:val="00861D71"/>
    <w:rsid w:val="008A3023"/>
    <w:rsid w:val="00967EF2"/>
    <w:rsid w:val="009A248B"/>
    <w:rsid w:val="009B4396"/>
    <w:rsid w:val="009B67FE"/>
    <w:rsid w:val="009C70BC"/>
    <w:rsid w:val="009D6C38"/>
    <w:rsid w:val="009E34C5"/>
    <w:rsid w:val="00A80DA9"/>
    <w:rsid w:val="00AB037C"/>
    <w:rsid w:val="00B267AB"/>
    <w:rsid w:val="00C12962"/>
    <w:rsid w:val="00C23544"/>
    <w:rsid w:val="00C655D2"/>
    <w:rsid w:val="00C712B5"/>
    <w:rsid w:val="00CC0738"/>
    <w:rsid w:val="00CE0987"/>
    <w:rsid w:val="00D004BF"/>
    <w:rsid w:val="00D05B16"/>
    <w:rsid w:val="00DC32F1"/>
    <w:rsid w:val="00DF66B1"/>
    <w:rsid w:val="00E45D59"/>
    <w:rsid w:val="00E72FE3"/>
    <w:rsid w:val="00EA03B9"/>
    <w:rsid w:val="00EB3502"/>
    <w:rsid w:val="00EC4B2C"/>
    <w:rsid w:val="00ED2685"/>
    <w:rsid w:val="00F039EF"/>
    <w:rsid w:val="00F04A5D"/>
    <w:rsid w:val="00F2213D"/>
    <w:rsid w:val="00F26391"/>
    <w:rsid w:val="00FA296F"/>
    <w:rsid w:val="14F40162"/>
    <w:rsid w:val="1DCF2E85"/>
    <w:rsid w:val="1EA90A48"/>
    <w:rsid w:val="2C0A1365"/>
    <w:rsid w:val="33E412BD"/>
    <w:rsid w:val="4D7D19F1"/>
    <w:rsid w:val="62CA3EF9"/>
    <w:rsid w:val="6AF6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5"/>
    <w:basedOn w:val="1"/>
    <w:next w:val="1"/>
    <w:link w:val="20"/>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widowControl/>
      <w:spacing w:afterLines="50" w:line="360" w:lineRule="auto"/>
      <w:ind w:firstLine="200" w:firstLineChars="200"/>
      <w:jc w:val="left"/>
    </w:pPr>
    <w:rPr>
      <w:rFonts w:eastAsia="仿宋"/>
      <w:kern w:val="0"/>
      <w:sz w:val="32"/>
      <w:szCs w:val="20"/>
    </w:rPr>
  </w:style>
  <w:style w:type="paragraph" w:styleId="6">
    <w:name w:val="annotation text"/>
    <w:basedOn w:val="1"/>
    <w:link w:val="59"/>
    <w:unhideWhenUsed/>
    <w:qFormat/>
    <w:uiPriority w:val="99"/>
    <w:pPr>
      <w:jc w:val="left"/>
    </w:pPr>
  </w:style>
  <w:style w:type="paragraph" w:styleId="7">
    <w:name w:val="Body Text"/>
    <w:basedOn w:val="1"/>
    <w:qFormat/>
    <w:uiPriority w:val="0"/>
    <w:pPr>
      <w:spacing w:after="120"/>
    </w:p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6"/>
    <w:next w:val="6"/>
    <w:link w:val="60"/>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9"/>
    <w:qFormat/>
    <w:uiPriority w:val="99"/>
    <w:rPr>
      <w:sz w:val="18"/>
      <w:szCs w:val="18"/>
    </w:rPr>
  </w:style>
  <w:style w:type="character" w:customStyle="1" w:styleId="17">
    <w:name w:val="页脚 字符"/>
    <w:basedOn w:val="14"/>
    <w:link w:val="8"/>
    <w:qFormat/>
    <w:uiPriority w:val="99"/>
    <w:rPr>
      <w:sz w:val="18"/>
      <w:szCs w:val="18"/>
    </w:rPr>
  </w:style>
  <w:style w:type="character" w:customStyle="1" w:styleId="18">
    <w:name w:val="标题 1 字符"/>
    <w:basedOn w:val="14"/>
    <w:link w:val="2"/>
    <w:qFormat/>
    <w:uiPriority w:val="9"/>
    <w:rPr>
      <w:rFonts w:ascii="宋体" w:hAnsi="宋体" w:eastAsia="宋体" w:cs="宋体"/>
      <w:b/>
      <w:bCs/>
      <w:kern w:val="36"/>
      <w:sz w:val="48"/>
      <w:szCs w:val="48"/>
    </w:rPr>
  </w:style>
  <w:style w:type="character" w:customStyle="1" w:styleId="19">
    <w:name w:val="标题 3 字符"/>
    <w:basedOn w:val="14"/>
    <w:link w:val="3"/>
    <w:qFormat/>
    <w:uiPriority w:val="9"/>
    <w:rPr>
      <w:rFonts w:ascii="宋体" w:hAnsi="宋体" w:eastAsia="宋体" w:cs="宋体"/>
      <w:b/>
      <w:bCs/>
      <w:kern w:val="0"/>
      <w:sz w:val="27"/>
      <w:szCs w:val="27"/>
    </w:rPr>
  </w:style>
  <w:style w:type="character" w:customStyle="1" w:styleId="20">
    <w:name w:val="标题 5 字符"/>
    <w:basedOn w:val="14"/>
    <w:link w:val="4"/>
    <w:qFormat/>
    <w:uiPriority w:val="9"/>
    <w:rPr>
      <w:rFonts w:ascii="宋体" w:hAnsi="宋体" w:eastAsia="宋体" w:cs="宋体"/>
      <w:b/>
      <w:bCs/>
      <w:kern w:val="0"/>
      <w:sz w:val="20"/>
      <w:szCs w:val="20"/>
    </w:rPr>
  </w:style>
  <w:style w:type="character" w:customStyle="1" w:styleId="21">
    <w:name w:val="population-ceilingprice"/>
    <w:basedOn w:val="14"/>
    <w:qFormat/>
    <w:uiPriority w:val="0"/>
  </w:style>
  <w:style w:type="character" w:customStyle="1" w:styleId="22">
    <w:name w:val="population-projectoverview"/>
    <w:basedOn w:val="14"/>
    <w:qFormat/>
    <w:uiPriority w:val="0"/>
  </w:style>
  <w:style w:type="character" w:customStyle="1" w:styleId="23">
    <w:name w:val="population-hassupplier"/>
    <w:basedOn w:val="14"/>
    <w:qFormat/>
    <w:uiPriority w:val="0"/>
  </w:style>
  <w:style w:type="character" w:customStyle="1" w:styleId="24">
    <w:name w:val="investigation-researchstatus"/>
    <w:basedOn w:val="14"/>
    <w:qFormat/>
    <w:uiPriority w:val="0"/>
  </w:style>
  <w:style w:type="character" w:customStyle="1" w:styleId="25">
    <w:name w:val="implementation-kind"/>
    <w:basedOn w:val="14"/>
    <w:qFormat/>
    <w:uiPriority w:val="0"/>
  </w:style>
  <w:style w:type="character" w:customStyle="1" w:styleId="26">
    <w:name w:val="implementation-purmethod"/>
    <w:basedOn w:val="14"/>
    <w:qFormat/>
    <w:uiPriority w:val="0"/>
  </w:style>
  <w:style w:type="character" w:customStyle="1" w:styleId="27">
    <w:name w:val="implementation-subcontracttotal"/>
    <w:basedOn w:val="14"/>
    <w:qFormat/>
    <w:uiPriority w:val="0"/>
  </w:style>
  <w:style w:type="character" w:customStyle="1" w:styleId="28">
    <w:name w:val="implementation-reservestatus"/>
    <w:basedOn w:val="14"/>
    <w:qFormat/>
    <w:uiPriority w:val="0"/>
  </w:style>
  <w:style w:type="character" w:customStyle="1" w:styleId="29">
    <w:name w:val="implementation-govservice"/>
    <w:basedOn w:val="14"/>
    <w:qFormat/>
    <w:uiPriority w:val="0"/>
  </w:style>
  <w:style w:type="character" w:customStyle="1" w:styleId="30">
    <w:name w:val="implementation-govinfomationstatus"/>
    <w:basedOn w:val="14"/>
    <w:qFormat/>
    <w:uiPriority w:val="0"/>
  </w:style>
  <w:style w:type="character" w:customStyle="1" w:styleId="31">
    <w:name w:val="implementation-sciencestatus"/>
    <w:basedOn w:val="14"/>
    <w:qFormat/>
    <w:uiPriority w:val="0"/>
  </w:style>
  <w:style w:type="character" w:customStyle="1" w:styleId="32">
    <w:name w:val="implementation-pppstatus"/>
    <w:basedOn w:val="14"/>
    <w:qFormat/>
    <w:uiPriority w:val="0"/>
  </w:style>
  <w:style w:type="character" w:customStyle="1" w:styleId="33">
    <w:name w:val="subcontract-legalcontracttype"/>
    <w:basedOn w:val="14"/>
    <w:qFormat/>
    <w:uiPriority w:val="0"/>
  </w:style>
  <w:style w:type="character" w:customStyle="1" w:styleId="34">
    <w:name w:val="subcontract-performperiod"/>
    <w:basedOn w:val="14"/>
    <w:qFormat/>
    <w:uiPriority w:val="0"/>
  </w:style>
  <w:style w:type="character" w:customStyle="1" w:styleId="35">
    <w:name w:val="subcontract-performaddress"/>
    <w:basedOn w:val="14"/>
    <w:qFormat/>
    <w:uiPriority w:val="0"/>
  </w:style>
  <w:style w:type="character" w:customStyle="1" w:styleId="36">
    <w:name w:val="subcontract-contractpaytype"/>
    <w:basedOn w:val="14"/>
    <w:qFormat/>
    <w:uiPriority w:val="0"/>
  </w:style>
  <w:style w:type="character" w:customStyle="1" w:styleId="37">
    <w:name w:val="subcontract-deliverystandard"/>
    <w:basedOn w:val="14"/>
    <w:qFormat/>
    <w:uiPriority w:val="0"/>
  </w:style>
  <w:style w:type="character" w:customStyle="1" w:styleId="38">
    <w:name w:val="subcontract-maintenance"/>
    <w:basedOn w:val="14"/>
    <w:qFormat/>
    <w:uiPriority w:val="0"/>
  </w:style>
  <w:style w:type="character" w:customStyle="1" w:styleId="39">
    <w:name w:val="subcontract-intellectualproperty"/>
    <w:basedOn w:val="14"/>
    <w:qFormat/>
    <w:uiPriority w:val="0"/>
  </w:style>
  <w:style w:type="character" w:customStyle="1" w:styleId="40">
    <w:name w:val="subcontract-risksharing"/>
    <w:basedOn w:val="14"/>
    <w:qFormat/>
    <w:uiPriority w:val="0"/>
  </w:style>
  <w:style w:type="character" w:customStyle="1" w:styleId="41">
    <w:name w:val="subcontract-disputeresolution"/>
    <w:basedOn w:val="14"/>
    <w:qFormat/>
    <w:uiPriority w:val="0"/>
  </w:style>
  <w:style w:type="character" w:customStyle="1" w:styleId="42">
    <w:name w:val="subcontract-otherterms"/>
    <w:basedOn w:val="14"/>
    <w:qFormat/>
    <w:uiPriority w:val="0"/>
  </w:style>
  <w:style w:type="character" w:customStyle="1" w:styleId="43">
    <w:name w:val="subcontract-acceptancetype"/>
    <w:basedOn w:val="14"/>
    <w:qFormat/>
    <w:uiPriority w:val="0"/>
  </w:style>
  <w:style w:type="character" w:customStyle="1" w:styleId="44">
    <w:name w:val="subcontract-invitesupplierstatus"/>
    <w:basedOn w:val="14"/>
    <w:qFormat/>
    <w:uiPriority w:val="0"/>
  </w:style>
  <w:style w:type="character" w:customStyle="1" w:styleId="45">
    <w:name w:val="subcontract-inviteexpertstatus"/>
    <w:basedOn w:val="14"/>
    <w:qFormat/>
    <w:uiPriority w:val="0"/>
  </w:style>
  <w:style w:type="character" w:customStyle="1" w:styleId="46">
    <w:name w:val="subcontract-inviteserviceobjectstatus"/>
    <w:basedOn w:val="14"/>
    <w:qFormat/>
    <w:uiPriority w:val="0"/>
  </w:style>
  <w:style w:type="character" w:customStyle="1" w:styleId="47">
    <w:name w:val="subcontract-professionaldetectionstatus"/>
    <w:basedOn w:val="14"/>
    <w:qFormat/>
    <w:uiPriority w:val="0"/>
  </w:style>
  <w:style w:type="character" w:customStyle="1" w:styleId="48">
    <w:name w:val="subcontract-acceptanceprocesstype"/>
    <w:basedOn w:val="14"/>
    <w:qFormat/>
    <w:uiPriority w:val="0"/>
  </w:style>
  <w:style w:type="character" w:customStyle="1" w:styleId="49">
    <w:name w:val="subcontract-acceptancemethod"/>
    <w:basedOn w:val="14"/>
    <w:qFormat/>
    <w:uiPriority w:val="0"/>
  </w:style>
  <w:style w:type="character" w:customStyle="1" w:styleId="50">
    <w:name w:val="subcontract-otherpreparations"/>
    <w:basedOn w:val="14"/>
    <w:qFormat/>
    <w:uiPriority w:val="0"/>
  </w:style>
  <w:style w:type="character" w:customStyle="1" w:styleId="51">
    <w:name w:val="subcontract-goodscontent"/>
    <w:basedOn w:val="14"/>
    <w:qFormat/>
    <w:uiPriority w:val="0"/>
  </w:style>
  <w:style w:type="character" w:customStyle="1" w:styleId="52">
    <w:name w:val="subcontract-businesscontent"/>
    <w:basedOn w:val="14"/>
    <w:qFormat/>
    <w:uiPriority w:val="0"/>
  </w:style>
  <w:style w:type="character" w:customStyle="1" w:styleId="53">
    <w:name w:val="subcontract-acceptancecriteria"/>
    <w:basedOn w:val="14"/>
    <w:qFormat/>
    <w:uiPriority w:val="0"/>
  </w:style>
  <w:style w:type="character" w:customStyle="1" w:styleId="54">
    <w:name w:val="subcontract-othercontent"/>
    <w:basedOn w:val="14"/>
    <w:qFormat/>
    <w:uiPriority w:val="0"/>
  </w:style>
  <w:style w:type="character" w:customStyle="1" w:styleId="55">
    <w:name w:val="risk-riskresponse"/>
    <w:basedOn w:val="14"/>
    <w:qFormat/>
    <w:uiPriority w:val="0"/>
  </w:style>
  <w:style w:type="paragraph" w:styleId="56">
    <w:name w:val="List Paragraph"/>
    <w:basedOn w:val="1"/>
    <w:qFormat/>
    <w:uiPriority w:val="34"/>
    <w:pPr>
      <w:ind w:firstLine="420" w:firstLineChars="200"/>
    </w:pPr>
  </w:style>
  <w:style w:type="paragraph" w:styleId="57">
    <w:name w:val="No Spacing"/>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8">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59">
    <w:name w:val="批注文字 字符"/>
    <w:basedOn w:val="14"/>
    <w:link w:val="6"/>
    <w:qFormat/>
    <w:uiPriority w:val="99"/>
    <w:rPr>
      <w:kern w:val="2"/>
      <w:sz w:val="21"/>
      <w:szCs w:val="22"/>
    </w:rPr>
  </w:style>
  <w:style w:type="character" w:customStyle="1" w:styleId="60">
    <w:name w:val="批注主题 字符"/>
    <w:basedOn w:val="59"/>
    <w:link w:val="11"/>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12938</Words>
  <Characters>13528</Characters>
  <Lines>102</Lines>
  <Paragraphs>28</Paragraphs>
  <TotalTime>49</TotalTime>
  <ScaleCrop>false</ScaleCrop>
  <LinksUpToDate>false</LinksUpToDate>
  <CharactersWithSpaces>13824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2022-06-10T06:10:00Z</dcterms:created>
  <dc:creator>张灵峻</dc:creator>
  <cp:lastModifiedBy>倪泰乐</cp:lastModifiedBy>
  <dcterms:modified xsi:type="dcterms:W3CDTF">2022-06-17T01:40:45Z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0A994A3DBE264CE08989627CD982B6BA</vt:lpwstr>
  </property>
</Properties>
</file>